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8C4" w:rsidP="00294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TLIW3026 Operate stand alone signalling/point control equipment</w:t>
      </w:r>
      <w:r>
        <w:fldChar w:fldCharType="end"/>
      </w:r>
    </w:p>
    <w:p w:rsidR="002948C4" w:rsidP="002948C4">
      <w:pPr>
        <w:pStyle w:val="Version"/>
        <w:sectPr w:rsidSect="00B33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3F73" w:rsidP="00B33F73">
      <w:pPr>
        <w:pStyle w:val="SuperHeading"/>
      </w:pPr>
      <w:r w:rsidRPr="00B33F73">
        <w:t>TLIW3026 Operate stand alone signalling/point control equipment</w:t>
      </w:r>
    </w:p>
    <w:p w:rsidR="00000000" w:rsidRPr="00B33F73" w:rsidP="00B33F73">
      <w:pPr>
        <w:pStyle w:val="Heading1"/>
      </w:pPr>
      <w:bookmarkStart w:id="1" w:name="O_1195196"/>
      <w:bookmarkEnd w:id="1"/>
      <w:r w:rsidRPr="00B33F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rPr>
                <w:rStyle w:val="SpecialBold"/>
              </w:rPr>
              <w:t>Release 2</w:t>
            </w:r>
            <w:r w:rsidRPr="00B33F73">
              <w:t>. This is the second release of this unit of competency in the TLI Transport and Logistics Training Package:</w:t>
            </w:r>
          </w:p>
          <w:p w:rsidR="00000000" w:rsidRPr="00B33F73" w:rsidP="00B33F73">
            <w:pPr>
              <w:pStyle w:val="ListBullet"/>
            </w:pPr>
            <w:r w:rsidRPr="00B33F73">
              <w:t>Min</w:t>
            </w:r>
            <w:r w:rsidRPr="00B33F73">
              <w:t>or statement changes in Performance Evidence</w:t>
            </w:r>
          </w:p>
          <w:p w:rsidR="00000000" w:rsidP="00B33F73">
            <w:pPr>
              <w:pStyle w:val="ListBullet"/>
              <w:rPr>
                <w:lang w:val="en-NZ"/>
              </w:rPr>
            </w:pPr>
            <w:r w:rsidRPr="00B33F73">
              <w:t>Minor statement changes in Assessment Conditions.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rPr>
                <w:rStyle w:val="SpecialBold"/>
              </w:rPr>
              <w:t>Release 1</w:t>
            </w:r>
            <w:r w:rsidRPr="00B33F73">
              <w:t>. This is the first release of this unit of competency in the TLI Transport and Logistics Training Package.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2" w:name="O_1195195"/>
      <w:bookmarkEnd w:id="2"/>
      <w:r w:rsidRPr="00B33F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t xml:space="preserve">This unit </w:t>
            </w:r>
            <w:r w:rsidRPr="00B33F73">
              <w:t xml:space="preserve">involves the skills and knowledge required to operate stand alone signalling/point control equipment on a rail network in accordance with Rail Infrastructure Manager requirements. </w:t>
            </w:r>
          </w:p>
          <w:p w:rsidR="00000000" w:rsidRPr="00B33F73" w:rsidP="00B33F73">
            <w:pPr>
              <w:pStyle w:val="BodyText"/>
            </w:pPr>
            <w:r w:rsidRPr="00B33F73">
              <w:t>It includes using and restoring stand alone signalling/point control equipm</w:t>
            </w:r>
            <w:r w:rsidRPr="00B33F73">
              <w:t>ent.</w:t>
            </w:r>
          </w:p>
          <w:p w:rsidR="00000000" w:rsidRPr="00B33F73" w:rsidP="00B33F73">
            <w:pPr>
              <w:pStyle w:val="BodyText"/>
            </w:pPr>
            <w:r w:rsidRPr="00B33F73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B33F73" w:rsidP="00B33F73">
            <w:pPr>
              <w:pStyle w:val="BodyText"/>
            </w:pPr>
            <w:r w:rsidRPr="00B33F73">
              <w:t>The unit includes the application of Rail Infrastructure M</w:t>
            </w:r>
            <w:r w:rsidRPr="00B33F73">
              <w:t xml:space="preserve">anager rules, procedures and protocols for rail safety but does not include the implementation of worksite protection. </w:t>
            </w:r>
          </w:p>
          <w:p w:rsidR="00000000" w:rsidRPr="00B33F73" w:rsidP="00B33F73">
            <w:pPr>
              <w:pStyle w:val="BodyText"/>
            </w:pPr>
            <w:r w:rsidRPr="00B33F73">
              <w:t>No licensing, legislative or certification requirements apply to this unit at the time of publication.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3" w:name="O_1195194"/>
      <w:bookmarkEnd w:id="3"/>
      <w:r w:rsidRPr="00B33F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t>Not applicable.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4" w:name="O_1195193"/>
      <w:bookmarkEnd w:id="4"/>
      <w:r w:rsidRPr="00B33F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t>W – Equipment and Systems Operations.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5" w:name="O_1195192"/>
      <w:bookmarkEnd w:id="5"/>
      <w:r w:rsidRPr="00B33F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t>Rail sector.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6" w:name="O_1195191"/>
      <w:bookmarkEnd w:id="6"/>
      <w:r w:rsidRPr="00B33F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280"/>
        <w:gridCol w:w="427"/>
        <w:gridCol w:w="6340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Elements describe the essential outcomes.</w:t>
            </w:r>
          </w:p>
        </w:tc>
        <w:tc>
          <w:tcPr>
            <w:tcW w:w="6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P</w:t>
            </w:r>
            <w:r w:rsidRPr="00B33F73">
              <w:t>erformance criteria describe the performance needed to demonstrate achievement of the element.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rPr>
                <w:rStyle w:val="SpecialBold"/>
              </w:rPr>
              <w:t>1</w:t>
            </w:r>
          </w:p>
        </w:tc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rPr>
                <w:rStyle w:val="SpecialBold"/>
              </w:rPr>
              <w:t>Use stand alone signalling control equipment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1.1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Signalling/point control equipment is identified and confirmed with network control officer, as required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1.2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Authority to operate signalling/point control equipment is obtained from network control officer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1.3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Appropriate personal protective equipment (PPE) is worn in accordance with Rail Infrastructure Manager and organisational requirements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1.4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Track environment is accessed safely in accordance with workplace procedures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1.5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Changed local conditions are identified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1.6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Stand alone signalling/point control equipment is operated safely in accordance with local instructions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1.7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Route is set and confirmed as correct to facilitate safe rail vehicle movement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1.8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Communication with network control officer is maintained using appropriate communications protocols and systems in accordance with workplace procedures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1.9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Unsafe situ</w:t>
            </w:r>
            <w:r w:rsidRPr="00B33F73">
              <w:t>ations and/or emergencies are identified and appropriate actions taken in accordance with workplace procedures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rPr>
                <w:rStyle w:val="SpecialBold"/>
              </w:rPr>
              <w:t>2</w:t>
            </w:r>
          </w:p>
        </w:tc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rPr>
                <w:rStyle w:val="SpecialBold"/>
              </w:rPr>
              <w:t>Restore stand alone signalling control equipment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2.1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Network control officer is informed when rail vehicle/s is clear of fouling points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2.2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Stand alone signalling/point control equipment is restored to correct position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2.3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Restoration is confirmed with network control officer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2.4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t>Signalling/point control equipment is locked and secured, as required, in accordance with workplace procedures</w:t>
            </w:r>
          </w:p>
        </w:tc>
      </w:tr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73">
            <w:pPr>
              <w:pStyle w:val="BodyText"/>
              <w:rPr>
                <w:lang w:val="en-NZ"/>
              </w:rPr>
            </w:pPr>
            <w:r w:rsidRPr="00B33F73">
              <w:rPr>
                <w:rStyle w:val="SpecialBold"/>
              </w:rPr>
              <w:t>2.5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t>Identified equipment faults are reported in accordance with workplace procedures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7" w:name="O_1195190"/>
      <w:bookmarkEnd w:id="7"/>
      <w:r w:rsidRPr="00B33F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t>Foundation skills essential to performance are explicit in the performance criteria of this unit of competency.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8" w:name="O_1195189"/>
      <w:bookmarkEnd w:id="8"/>
      <w:r w:rsidRPr="00B33F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t>Range is restricted to essential operating conditions and any other variables essential to the work env</w:t>
            </w:r>
            <w:r w:rsidRPr="00B33F73">
              <w:t>ironment.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9" w:name="O_1195188"/>
      <w:bookmarkEnd w:id="9"/>
      <w:r w:rsidRPr="00B33F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73" w:rsidP="00B33F73">
            <w:pPr>
              <w:pStyle w:val="BodyText"/>
            </w:pPr>
            <w:r w:rsidRPr="00B33F73">
              <w:t xml:space="preserve">This unit replaces and is equivalent to TLIW3026B Operate stand alone signalling/points control equipment. </w:t>
            </w:r>
          </w:p>
        </w:tc>
      </w:tr>
    </w:tbl>
    <w:p w:rsidR="00000000" w:rsidRPr="00B33F73" w:rsidP="00B33F73">
      <w:pPr>
        <w:pStyle w:val="NoPaddingFontSize1"/>
      </w:pPr>
    </w:p>
    <w:p w:rsidR="00000000" w:rsidRPr="00B33F73" w:rsidP="00B33F73">
      <w:pPr>
        <w:pStyle w:val="AllowPageBreak"/>
      </w:pPr>
    </w:p>
    <w:p w:rsidR="00000000" w:rsidRPr="00B33F73" w:rsidP="00B33F73">
      <w:pPr>
        <w:pStyle w:val="Heading1"/>
      </w:pPr>
      <w:bookmarkStart w:id="10" w:name="O_1195197"/>
      <w:bookmarkEnd w:id="10"/>
      <w:r w:rsidRPr="00B33F73">
        <w:t>Links</w:t>
      </w:r>
    </w:p>
    <w:p w:rsidR="00000000" w:rsidRPr="00B33F73" w:rsidP="002948C4">
      <w:pPr>
        <w:pStyle w:val="BodyText"/>
      </w:pPr>
      <w:r w:rsidRPr="00B33F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50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3F73" w:rsidP="00B33F73"/>
    <w:sectPr w:rsidSect="00B33F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3" w:rsidRPr="002948C4" w:rsidP="00294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C4" w:rsidP="00B33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8C4" w:rsidP="00B33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948C4" w:rsidP="00B33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F73" w:rsidRPr="002948C4" w:rsidP="00294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C4" w:rsidRPr="002D2AF8" w:rsidP="00B33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TLIW3026 Operate stand alone signalling/point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948C4" w:rsidP="00B33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DE7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BCF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F73"/>
  </w:style>
  <w:style w:type="character" w:customStyle="1" w:styleId="Heading1Char">
    <w:name w:val="Heading 1 Char"/>
    <w:basedOn w:val="DefaultParagraphFont"/>
    <w:link w:val="Heading1"/>
    <w:rsid w:val="00B33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F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F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F73"/>
    <w:rPr>
      <w:b/>
      <w:spacing w:val="0"/>
    </w:rPr>
  </w:style>
  <w:style w:type="paragraph" w:customStyle="1" w:styleId="SuperHeading">
    <w:name w:val="SuperHeading"/>
    <w:basedOn w:val="Normal"/>
    <w:rsid w:val="00B33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3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F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F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F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F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F73"/>
    <w:rPr>
      <w:i/>
    </w:rPr>
  </w:style>
  <w:style w:type="paragraph" w:styleId="Caption">
    <w:name w:val="caption"/>
    <w:basedOn w:val="BodyText"/>
    <w:next w:val="Normal"/>
    <w:qFormat/>
    <w:rsid w:val="00B33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F73"/>
  </w:style>
  <w:style w:type="paragraph" w:styleId="TableofFigures">
    <w:name w:val="table of figures"/>
    <w:basedOn w:val="Normal"/>
    <w:next w:val="Normal"/>
    <w:semiHidden/>
    <w:rsid w:val="00B33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F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3F73"/>
    <w:rPr>
      <w:rFonts w:ascii="Wingdings" w:hAnsi="Wingdings"/>
    </w:rPr>
  </w:style>
  <w:style w:type="paragraph" w:customStyle="1" w:styleId="TableHeading">
    <w:name w:val="Table Heading"/>
    <w:basedOn w:val="HeadingBase"/>
    <w:rsid w:val="00B33F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F73"/>
    <w:rPr>
      <w:color w:val="0033CC"/>
      <w:u w:val="none"/>
    </w:rPr>
  </w:style>
  <w:style w:type="paragraph" w:customStyle="1" w:styleId="BodyTextRight">
    <w:name w:val="Body Text Right"/>
    <w:basedOn w:val="BodyText"/>
    <w:rsid w:val="00B33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F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F73"/>
    <w:rPr>
      <w:sz w:val="32"/>
    </w:rPr>
  </w:style>
  <w:style w:type="paragraph" w:customStyle="1" w:styleId="HeadingProcedure">
    <w:name w:val="Heading Procedure"/>
    <w:basedOn w:val="HeadingBase"/>
    <w:next w:val="Normal"/>
    <w:rsid w:val="00B33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F73"/>
    <w:pPr>
      <w:spacing w:before="60" w:after="60"/>
    </w:pPr>
  </w:style>
  <w:style w:type="paragraph" w:styleId="ListContinue">
    <w:name w:val="List Continue"/>
    <w:basedOn w:val="List"/>
    <w:rsid w:val="00B33F73"/>
    <w:pPr>
      <w:ind w:firstLine="0"/>
    </w:pPr>
  </w:style>
  <w:style w:type="paragraph" w:customStyle="1" w:styleId="ListNote">
    <w:name w:val="List Note"/>
    <w:basedOn w:val="List"/>
    <w:rsid w:val="00B33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F73"/>
    <w:rPr>
      <w:rFonts w:ascii="Courier New" w:hAnsi="Courier New"/>
    </w:rPr>
  </w:style>
  <w:style w:type="paragraph" w:customStyle="1" w:styleId="NoteBullet">
    <w:name w:val="Note Bullet"/>
    <w:basedOn w:val="Note"/>
    <w:rsid w:val="00B33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F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3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F73"/>
    <w:rPr>
      <w:b/>
      <w:smallCaps/>
    </w:rPr>
  </w:style>
  <w:style w:type="paragraph" w:customStyle="1" w:styleId="TableListNumber">
    <w:name w:val="Table List Number"/>
    <w:basedOn w:val="ListNumber"/>
    <w:rsid w:val="00B33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F73"/>
    <w:pPr>
      <w:numPr>
        <w:numId w:val="8"/>
      </w:numPr>
    </w:pPr>
  </w:style>
  <w:style w:type="paragraph" w:customStyle="1" w:styleId="ListAlpha2">
    <w:name w:val="List Alpha 2"/>
    <w:basedOn w:val="List2"/>
    <w:rsid w:val="00B33F73"/>
    <w:pPr>
      <w:numPr>
        <w:numId w:val="7"/>
      </w:numPr>
    </w:pPr>
  </w:style>
  <w:style w:type="paragraph" w:styleId="List2">
    <w:name w:val="List 2"/>
    <w:basedOn w:val="BodyText"/>
    <w:rsid w:val="00B33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F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F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F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3F73"/>
    <w:pPr>
      <w:numPr>
        <w:numId w:val="3"/>
      </w:numPr>
    </w:pPr>
  </w:style>
  <w:style w:type="paragraph" w:styleId="ListContinue2">
    <w:name w:val="List Continue 2"/>
    <w:basedOn w:val="List2"/>
    <w:rsid w:val="00B33F73"/>
    <w:pPr>
      <w:ind w:firstLine="0"/>
    </w:pPr>
  </w:style>
  <w:style w:type="paragraph" w:styleId="ListContinue3">
    <w:name w:val="List Continue 3"/>
    <w:basedOn w:val="List3"/>
    <w:rsid w:val="00B33F73"/>
    <w:pPr>
      <w:ind w:left="1021" w:firstLine="0"/>
    </w:pPr>
  </w:style>
  <w:style w:type="paragraph" w:styleId="ListContinue4">
    <w:name w:val="List Continue 4"/>
    <w:basedOn w:val="List4"/>
    <w:rsid w:val="00B33F73"/>
    <w:pPr>
      <w:ind w:firstLine="0"/>
    </w:pPr>
  </w:style>
  <w:style w:type="paragraph" w:styleId="ListContinue5">
    <w:name w:val="List Continue 5"/>
    <w:basedOn w:val="List5"/>
    <w:rsid w:val="00B33F73"/>
    <w:pPr>
      <w:ind w:firstLine="0"/>
    </w:pPr>
  </w:style>
  <w:style w:type="paragraph" w:styleId="ListNumber3">
    <w:name w:val="List Number 3"/>
    <w:basedOn w:val="List3"/>
    <w:rsid w:val="00B33F73"/>
    <w:pPr>
      <w:numPr>
        <w:numId w:val="4"/>
      </w:numPr>
    </w:pPr>
  </w:style>
  <w:style w:type="paragraph" w:styleId="ListNumber4">
    <w:name w:val="List Number 4"/>
    <w:basedOn w:val="List4"/>
    <w:rsid w:val="00B33F73"/>
    <w:pPr>
      <w:numPr>
        <w:numId w:val="5"/>
      </w:numPr>
    </w:pPr>
  </w:style>
  <w:style w:type="paragraph" w:styleId="ListNumber5">
    <w:name w:val="List Number 5"/>
    <w:basedOn w:val="List5"/>
    <w:rsid w:val="00B33F73"/>
    <w:pPr>
      <w:numPr>
        <w:numId w:val="6"/>
      </w:numPr>
    </w:pPr>
  </w:style>
  <w:style w:type="paragraph" w:styleId="BlockText">
    <w:name w:val="Block Text"/>
    <w:basedOn w:val="Normal"/>
    <w:rsid w:val="00B33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F73"/>
    <w:rPr>
      <w:sz w:val="16"/>
      <w:vertAlign w:val="superscript"/>
    </w:rPr>
  </w:style>
  <w:style w:type="character" w:customStyle="1" w:styleId="Symbols">
    <w:name w:val="Symbols"/>
    <w:basedOn w:val="DefaultParagraphFont"/>
    <w:rsid w:val="00B33F73"/>
    <w:rPr>
      <w:rFonts w:ascii="Symbol" w:hAnsi="Symbol"/>
    </w:rPr>
  </w:style>
  <w:style w:type="character" w:customStyle="1" w:styleId="MenuOptions">
    <w:name w:val="Menu Options"/>
    <w:basedOn w:val="DefaultParagraphFont"/>
    <w:rsid w:val="00B33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F73"/>
    <w:rPr>
      <w:b/>
    </w:rPr>
  </w:style>
  <w:style w:type="character" w:customStyle="1" w:styleId="Underlined">
    <w:name w:val="Underlined"/>
    <w:basedOn w:val="DefaultParagraphFont"/>
    <w:rsid w:val="00B33F73"/>
    <w:rPr>
      <w:u w:val="single"/>
    </w:rPr>
  </w:style>
  <w:style w:type="paragraph" w:customStyle="1" w:styleId="TableBodyTextRight">
    <w:name w:val="Table Body Text Right"/>
    <w:basedOn w:val="TableBodyText"/>
    <w:rsid w:val="00B33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F73"/>
    <w:rPr>
      <w:sz w:val="18"/>
    </w:rPr>
  </w:style>
  <w:style w:type="paragraph" w:customStyle="1" w:styleId="BodySmallRight">
    <w:name w:val="Body Small Right"/>
    <w:basedOn w:val="BodyTextRight"/>
    <w:rsid w:val="00B33F73"/>
    <w:rPr>
      <w:sz w:val="18"/>
      <w:szCs w:val="18"/>
    </w:rPr>
  </w:style>
  <w:style w:type="paragraph" w:customStyle="1" w:styleId="MarginEdition">
    <w:name w:val="Margin Edition"/>
    <w:basedOn w:val="MarginNote"/>
    <w:rsid w:val="00B33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F73"/>
    <w:rPr>
      <w:sz w:val="2"/>
      <w:szCs w:val="2"/>
    </w:rPr>
  </w:style>
  <w:style w:type="character" w:customStyle="1" w:styleId="Small">
    <w:name w:val="Small"/>
    <w:basedOn w:val="DefaultParagraphFont"/>
    <w:rsid w:val="00B33F73"/>
    <w:rPr>
      <w:sz w:val="16"/>
    </w:rPr>
  </w:style>
  <w:style w:type="paragraph" w:customStyle="1" w:styleId="WideTable">
    <w:name w:val="Wide Table"/>
    <w:basedOn w:val="Normal"/>
    <w:rsid w:val="00B33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F73"/>
  </w:style>
  <w:style w:type="paragraph" w:styleId="Quote">
    <w:name w:val="Quote"/>
    <w:basedOn w:val="Heading1"/>
    <w:link w:val="QuoteChar"/>
    <w:qFormat/>
    <w:rsid w:val="00B33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F73"/>
    <w:pPr>
      <w:pageBreakBefore/>
    </w:pPr>
  </w:style>
  <w:style w:type="paragraph" w:customStyle="1" w:styleId="Border">
    <w:name w:val="Border"/>
    <w:basedOn w:val="Normal"/>
    <w:qFormat/>
    <w:rsid w:val="00B33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F73"/>
    <w:rPr>
      <w:u w:val="single"/>
    </w:rPr>
  </w:style>
  <w:style w:type="character" w:customStyle="1" w:styleId="BoldandItalics">
    <w:name w:val="Bold and Italics"/>
    <w:qFormat/>
    <w:rsid w:val="00B33F73"/>
    <w:rPr>
      <w:b/>
      <w:i/>
      <w:u w:val="none"/>
    </w:rPr>
  </w:style>
  <w:style w:type="paragraph" w:styleId="BalloonText">
    <w:name w:val="Balloon Text"/>
    <w:basedOn w:val="Normal"/>
    <w:link w:val="BalloonTextChar"/>
    <w:rsid w:val="00B33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F73"/>
    <w:pPr>
      <w:spacing w:before="0" w:after="0"/>
    </w:pPr>
  </w:style>
  <w:style w:type="paragraph" w:customStyle="1" w:styleId="BodyTextBold">
    <w:name w:val="Body Text Bold"/>
    <w:basedOn w:val="BodyText"/>
    <w:qFormat/>
    <w:rsid w:val="00B33F73"/>
    <w:rPr>
      <w:b/>
    </w:rPr>
  </w:style>
  <w:style w:type="character" w:styleId="Hyperlink">
    <w:name w:val="Hyperlink"/>
    <w:basedOn w:val="DefaultParagraphFont"/>
    <w:uiPriority w:val="99"/>
    <w:unhideWhenUsed/>
    <w:rsid w:val="00294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3292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TLIW3026 Operate stand alone signalling/point control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