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B84" w:rsidP="00DC5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TLIW3013 Grind switches and crossings</w:t>
      </w:r>
      <w:r>
        <w:fldChar w:fldCharType="end"/>
      </w:r>
    </w:p>
    <w:p w:rsidR="00DC5B84" w:rsidP="00DC5B84">
      <w:pPr>
        <w:pStyle w:val="Version"/>
        <w:sectPr w:rsidSect="00781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7FB" w:rsidP="007817FB">
      <w:pPr>
        <w:pStyle w:val="SuperHeading"/>
      </w:pPr>
      <w:r w:rsidRPr="007817FB">
        <w:t>TLIW3013 Grind switches and crossings</w:t>
      </w:r>
    </w:p>
    <w:p w:rsidR="00000000" w:rsidRPr="007817FB" w:rsidP="007817FB">
      <w:pPr>
        <w:pStyle w:val="Heading1"/>
      </w:pPr>
      <w:bookmarkStart w:id="1" w:name="O_754183"/>
      <w:bookmarkEnd w:id="1"/>
      <w:r w:rsidRPr="007817FB">
        <w:t>Modification History</w:t>
      </w:r>
    </w:p>
    <w:p w:rsidR="00DC5B84" w:rsidP="00DC5B84">
      <w:pPr>
        <w:pStyle w:val="BodyText"/>
      </w:pPr>
      <w:r w:rsidRPr="007817FB">
        <w:t>Release 1. This is the first release of this unit of competency in the TLI Transport and Logistics Training Package.</w:t>
      </w:r>
    </w:p>
    <w:p w:rsidR="00000000" w:rsidRPr="007817FB" w:rsidP="007817FB">
      <w:pPr>
        <w:pStyle w:val="Heading1"/>
      </w:pPr>
      <w:bookmarkStart w:id="2" w:name="O_754184"/>
      <w:bookmarkEnd w:id="2"/>
      <w:r w:rsidRPr="007817F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FB" w:rsidP="007817FB">
            <w:pPr>
              <w:pStyle w:val="BodyText"/>
            </w:pPr>
            <w:r w:rsidRPr="007817FB">
              <w:t xml:space="preserve">This unit involves the skills and knowledge required to grind switches and crossings in </w:t>
            </w:r>
            <w:r w:rsidRPr="007817FB">
              <w:t xml:space="preserve">accordance with rail industry standards, safeworking and regulatory requirements, and workplace procedures. </w:t>
            </w:r>
          </w:p>
          <w:p w:rsidR="00000000" w:rsidRPr="007817FB" w:rsidP="007817FB">
            <w:pPr>
              <w:pStyle w:val="BodyText"/>
            </w:pPr>
            <w:r w:rsidRPr="007817FB">
              <w:t>It includes determining job requirements, grinding weld and/or weld repair, grinding switches and crossings to repair surface defects, and completi</w:t>
            </w:r>
            <w:r w:rsidRPr="007817FB">
              <w:t xml:space="preserve">ng all required documentation. </w:t>
            </w:r>
          </w:p>
          <w:p w:rsidR="00000000" w:rsidRPr="007817FB" w:rsidP="007817FB">
            <w:pPr>
              <w:pStyle w:val="BodyText"/>
            </w:pPr>
            <w:r w:rsidRPr="007817FB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7817FB" w:rsidP="007817FB">
            <w:pPr>
              <w:pStyle w:val="BodyText"/>
            </w:pPr>
            <w:r w:rsidRPr="007817FB">
              <w:t>Work is performed under some su</w:t>
            </w:r>
            <w:r w:rsidRPr="007817FB">
              <w:t>pervision, generally within a team environment. It involves the application of routine operational principles and procedures when grinding switches and crossings, as part of workplace activities across a variety of operational contexts within the Australia</w:t>
            </w:r>
            <w:r w:rsidRPr="007817FB">
              <w:t>n rail system.</w:t>
            </w:r>
          </w:p>
          <w:p w:rsidR="00000000" w:rsidRPr="007817FB" w:rsidP="007817FB">
            <w:pPr>
              <w:pStyle w:val="BodyText"/>
            </w:pPr>
            <w:r w:rsidRPr="007817FB">
              <w:t>No licensing, legislative or certification requirements apply to this unit at the time of publication.</w:t>
            </w:r>
          </w:p>
        </w:tc>
      </w:tr>
    </w:tbl>
    <w:p w:rsidR="00DC5B84" w:rsidP="007817FB">
      <w:pPr>
        <w:pStyle w:val="BodyText"/>
      </w:pPr>
    </w:p>
    <w:p w:rsidR="00DC5B84" w:rsidP="007817FB">
      <w:pPr>
        <w:pStyle w:val="BodyText"/>
      </w:pPr>
    </w:p>
    <w:p w:rsidR="00000000" w:rsidRPr="007817FB" w:rsidP="007817FB">
      <w:pPr>
        <w:pStyle w:val="Heading1"/>
      </w:pPr>
      <w:bookmarkStart w:id="3" w:name="O_754185"/>
      <w:bookmarkEnd w:id="3"/>
      <w:r w:rsidRPr="007817FB">
        <w:t>Pre-requisite Unit</w:t>
      </w:r>
    </w:p>
    <w:p w:rsidR="00DC5B84" w:rsidP="00DC5B84">
      <w:pPr>
        <w:pStyle w:val="BodyText"/>
      </w:pPr>
      <w:r w:rsidRPr="007817FB">
        <w:t>Not applicable.</w:t>
      </w:r>
    </w:p>
    <w:p w:rsidR="00000000" w:rsidRPr="007817FB" w:rsidP="007817FB">
      <w:pPr>
        <w:pStyle w:val="Heading1"/>
      </w:pPr>
      <w:bookmarkStart w:id="4" w:name="O_754186"/>
      <w:bookmarkEnd w:id="4"/>
      <w:r w:rsidRPr="007817FB">
        <w:t>Competency Field</w:t>
      </w:r>
    </w:p>
    <w:p w:rsidR="00DC5B84" w:rsidP="00DC5B84">
      <w:pPr>
        <w:pStyle w:val="BodyText"/>
      </w:pPr>
      <w:r w:rsidRPr="007817FB">
        <w:t>W – Equipment and Systems Operations</w:t>
      </w:r>
    </w:p>
    <w:p w:rsidR="00000000" w:rsidRPr="007817FB" w:rsidP="007817FB">
      <w:pPr>
        <w:pStyle w:val="Heading1"/>
      </w:pPr>
      <w:bookmarkStart w:id="5" w:name="O_754187"/>
      <w:bookmarkEnd w:id="5"/>
      <w:r w:rsidRPr="007817FB">
        <w:t>Unit Sector</w:t>
      </w:r>
    </w:p>
    <w:p w:rsidR="00DC5B84" w:rsidP="00DC5B84">
      <w:pPr>
        <w:pStyle w:val="BodyText"/>
      </w:pPr>
      <w:r w:rsidRPr="007817FB">
        <w:t>Not applicable.</w:t>
      </w:r>
    </w:p>
    <w:p w:rsidR="00000000" w:rsidRPr="007817FB" w:rsidP="007817FB">
      <w:pPr>
        <w:pStyle w:val="Heading1"/>
      </w:pPr>
      <w:bookmarkStart w:id="6" w:name="O_754188"/>
      <w:bookmarkEnd w:id="6"/>
      <w:r w:rsidRPr="007817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 xml:space="preserve">Elements describe the </w:t>
            </w:r>
            <w:r w:rsidRPr="007817FB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 xml:space="preserve">Performance criteria describe the performance needed to demonstrate achievement of the </w:t>
            </w:r>
            <w:r w:rsidRPr="007817FB">
              <w:t>element.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FB" w:rsidP="007817FB">
            <w:pPr>
              <w:pStyle w:val="BodyText"/>
            </w:pPr>
            <w:r w:rsidRPr="007817F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rPr>
                <w:rStyle w:val="SpecialBold"/>
              </w:rPr>
              <w:t>Determine job requirement</w:t>
            </w:r>
            <w:r w:rsidRPr="007817FB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Weld repairs are located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Defects relating to rail surface profile and condition in switches and crossings are identified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Hazards are identified, risks are assessed and control measures are implemented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Appropriate equipment is selected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Appropriate repair method and/or profile is selected to ensure completed work will meet specifications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Site is cleared of obstructions and combustible material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FB" w:rsidP="007817FB">
            <w:pPr>
              <w:pStyle w:val="BodyText"/>
            </w:pPr>
            <w:r w:rsidRPr="007817F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rPr>
                <w:rStyle w:val="SpecialBold"/>
              </w:rPr>
              <w:t>Grind weld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Switch or crossing is ground to nominated profile after installation or welded repair using approved equipment in accordance with workplace procedures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 xml:space="preserve">Grinding equipment is operated safely in accordance with work health and safety </w:t>
            </w:r>
            <w:r w:rsidRPr="007817FB">
              <w:t>(WHS)/occupational health and safety (OHS) and environmental requirements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Switch or crossing profile and alignment are measured to ensure compliance with acceptance standards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Rail surface condition is assessed for compliance with acceptance s</w:t>
            </w:r>
            <w:r w:rsidRPr="007817FB">
              <w:t>tandards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FB" w:rsidP="007817FB">
            <w:pPr>
              <w:pStyle w:val="BodyText"/>
            </w:pPr>
            <w:r w:rsidRPr="007817F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rPr>
                <w:rStyle w:val="SpecialBold"/>
              </w:rPr>
              <w:t>Grind switch or crossing to repair surface defects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Switch or crossing is ground using approved equipment in accordance with workplace procedures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Grinding equipment is operated safely in accordance with WHS/OHS and environmental requirements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Finished surface is checked to ensure compliance with acceptance standards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FB" w:rsidP="007817FB">
            <w:pPr>
              <w:pStyle w:val="BodyText"/>
            </w:pPr>
            <w:r w:rsidRPr="007817F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Required documentation procedures and processes are confirmed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 xml:space="preserve">Documentation is filled in legibly and proofread </w:t>
            </w:r>
          </w:p>
        </w:tc>
      </w:tr>
      <w:tr w:rsidTr="00DC5B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FB">
            <w:pPr>
              <w:pStyle w:val="BodyText"/>
              <w:rPr>
                <w:lang w:val="en-NZ"/>
              </w:rPr>
            </w:pPr>
            <w:r w:rsidRPr="007817F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FB" w:rsidP="007817FB">
            <w:pPr>
              <w:pStyle w:val="BodyText"/>
            </w:pPr>
            <w:r w:rsidRPr="007817FB">
              <w:t>Documentation is processed in accordance with workplace requirements</w:t>
            </w:r>
          </w:p>
        </w:tc>
      </w:tr>
    </w:tbl>
    <w:p w:rsidR="00DC5B84" w:rsidP="007817FB">
      <w:pPr>
        <w:pStyle w:val="BodyText"/>
      </w:pPr>
    </w:p>
    <w:p w:rsidR="00DC5B84" w:rsidP="007817FB">
      <w:pPr>
        <w:pStyle w:val="BodyText"/>
      </w:pPr>
    </w:p>
    <w:p w:rsidR="00000000" w:rsidRPr="007817FB" w:rsidP="007817FB">
      <w:pPr>
        <w:pStyle w:val="Heading1"/>
      </w:pPr>
      <w:bookmarkStart w:id="7" w:name="O_754189"/>
      <w:bookmarkEnd w:id="7"/>
      <w:r w:rsidRPr="007817FB">
        <w:t>Foundation Skills</w:t>
      </w:r>
    </w:p>
    <w:p w:rsidR="00DC5B84" w:rsidP="00DC5B84">
      <w:pPr>
        <w:pStyle w:val="BodyText"/>
      </w:pPr>
      <w:r w:rsidRPr="007817FB">
        <w:t>Foundation skills essential to performance are explicit in the performance criteria of this unit of competency.</w:t>
      </w:r>
    </w:p>
    <w:p w:rsidR="00000000" w:rsidRPr="007817FB" w:rsidP="007817FB">
      <w:pPr>
        <w:pStyle w:val="Heading1"/>
      </w:pPr>
      <w:bookmarkStart w:id="8" w:name="O_754190"/>
      <w:bookmarkEnd w:id="8"/>
      <w:r w:rsidRPr="007817FB">
        <w:t>Range of Conditions</w:t>
      </w:r>
    </w:p>
    <w:p w:rsidR="00000000" w:rsidRPr="007817FB" w:rsidP="00DC5B84">
      <w:pPr>
        <w:pStyle w:val="BodyText"/>
      </w:pPr>
      <w:r w:rsidRPr="007817FB">
        <w:t>Range is restricted to essential operating conditions and any other variables essential to the work enviro</w:t>
      </w:r>
      <w:r w:rsidRPr="007817FB">
        <w:t>nment.</w:t>
      </w:r>
    </w:p>
    <w:p w:rsidR="00DC5B84" w:rsidP="00DC5B84">
      <w:pPr>
        <w:pStyle w:val="BodyText"/>
      </w:pPr>
      <w:r w:rsidRPr="007817FB">
        <w:t>Non-essential conditions can be found in the Companion Volume Implementation Guide.</w:t>
      </w:r>
    </w:p>
    <w:p w:rsidR="00000000" w:rsidRPr="007817FB" w:rsidP="007817FB">
      <w:pPr>
        <w:pStyle w:val="Heading1"/>
      </w:pPr>
      <w:bookmarkStart w:id="9" w:name="O_754191"/>
      <w:bookmarkEnd w:id="9"/>
      <w:r w:rsidRPr="007817FB">
        <w:t>Unit Mapping Information</w:t>
      </w:r>
    </w:p>
    <w:p w:rsidR="00DC5B84" w:rsidP="00DC5B84">
      <w:pPr>
        <w:pStyle w:val="BodyText"/>
      </w:pPr>
      <w:r w:rsidRPr="007817FB">
        <w:t>This unit replaces and is equivalent to TLIW3013A Grind switches and crossings.</w:t>
      </w:r>
    </w:p>
    <w:p w:rsidR="00000000" w:rsidRPr="007817FB" w:rsidP="007817FB">
      <w:pPr>
        <w:pStyle w:val="Heading1"/>
      </w:pPr>
      <w:bookmarkStart w:id="10" w:name="O_754198"/>
      <w:bookmarkEnd w:id="10"/>
      <w:r w:rsidRPr="007817FB">
        <w:t>Links</w:t>
      </w:r>
    </w:p>
    <w:p w:rsidR="00000000" w:rsidRPr="007817FB" w:rsidP="00DC5B84">
      <w:pPr>
        <w:pStyle w:val="BodyText"/>
      </w:pPr>
      <w:r w:rsidRPr="007817FB">
        <w:t>Companion Volume i</w:t>
      </w:r>
      <w:r w:rsidRPr="007817FB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72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17FB" w:rsidP="007817FB"/>
    <w:sectPr w:rsidSect="00781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FB" w:rsidRPr="00DC5B84" w:rsidP="00DC5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84" w:rsidP="00781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B84" w:rsidP="00781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5B84" w:rsidP="00781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7FB" w:rsidRPr="00DC5B84" w:rsidP="00DC5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B84" w:rsidRPr="002D2AF8" w:rsidP="00781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TLIW3013 Grind switches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C5B84" w:rsidP="00781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7FB"/>
  </w:style>
  <w:style w:type="character" w:customStyle="1" w:styleId="Heading1Char">
    <w:name w:val="Heading 1 Char"/>
    <w:basedOn w:val="DefaultParagraphFont"/>
    <w:link w:val="Heading1"/>
    <w:rsid w:val="00781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7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17FB"/>
    <w:rPr>
      <w:b/>
      <w:spacing w:val="0"/>
    </w:rPr>
  </w:style>
  <w:style w:type="paragraph" w:customStyle="1" w:styleId="SuperHeading">
    <w:name w:val="SuperHeading"/>
    <w:basedOn w:val="Normal"/>
    <w:rsid w:val="00781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7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1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7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7FB"/>
    <w:rPr>
      <w:i/>
    </w:rPr>
  </w:style>
  <w:style w:type="paragraph" w:styleId="Caption">
    <w:name w:val="caption"/>
    <w:basedOn w:val="BodyText"/>
    <w:next w:val="Normal"/>
    <w:qFormat/>
    <w:rsid w:val="00781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7FB"/>
  </w:style>
  <w:style w:type="paragraph" w:styleId="TableofFigures">
    <w:name w:val="table of figures"/>
    <w:basedOn w:val="Normal"/>
    <w:next w:val="Normal"/>
    <w:semiHidden/>
    <w:rsid w:val="00781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7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17FB"/>
    <w:rPr>
      <w:rFonts w:ascii="Wingdings" w:hAnsi="Wingdings"/>
    </w:rPr>
  </w:style>
  <w:style w:type="paragraph" w:customStyle="1" w:styleId="TableHeading">
    <w:name w:val="Table Heading"/>
    <w:basedOn w:val="HeadingBase"/>
    <w:rsid w:val="00781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7FB"/>
    <w:rPr>
      <w:color w:val="0033CC"/>
      <w:u w:val="none"/>
    </w:rPr>
  </w:style>
  <w:style w:type="paragraph" w:customStyle="1" w:styleId="BodyTextRight">
    <w:name w:val="Body Text Right"/>
    <w:basedOn w:val="BodyText"/>
    <w:rsid w:val="00781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7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7FB"/>
    <w:rPr>
      <w:sz w:val="32"/>
    </w:rPr>
  </w:style>
  <w:style w:type="paragraph" w:customStyle="1" w:styleId="HeadingProcedure">
    <w:name w:val="Heading Procedure"/>
    <w:basedOn w:val="HeadingBase"/>
    <w:next w:val="Normal"/>
    <w:rsid w:val="00781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7FB"/>
    <w:pPr>
      <w:spacing w:before="60" w:after="60"/>
    </w:pPr>
  </w:style>
  <w:style w:type="paragraph" w:styleId="ListContinue">
    <w:name w:val="List Continue"/>
    <w:basedOn w:val="List"/>
    <w:rsid w:val="007817FB"/>
    <w:pPr>
      <w:ind w:firstLine="0"/>
    </w:pPr>
  </w:style>
  <w:style w:type="paragraph" w:customStyle="1" w:styleId="ListNote">
    <w:name w:val="List Note"/>
    <w:basedOn w:val="List"/>
    <w:rsid w:val="00781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7FB"/>
    <w:rPr>
      <w:rFonts w:ascii="Courier New" w:hAnsi="Courier New"/>
    </w:rPr>
  </w:style>
  <w:style w:type="paragraph" w:customStyle="1" w:styleId="NoteBullet">
    <w:name w:val="Note Bullet"/>
    <w:basedOn w:val="Note"/>
    <w:rsid w:val="00781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7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1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7FB"/>
    <w:rPr>
      <w:b/>
      <w:smallCaps/>
    </w:rPr>
  </w:style>
  <w:style w:type="paragraph" w:customStyle="1" w:styleId="TableListNumber">
    <w:name w:val="Table List Number"/>
    <w:basedOn w:val="ListNumber"/>
    <w:rsid w:val="00781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7FB"/>
    <w:pPr>
      <w:numPr>
        <w:numId w:val="7"/>
      </w:numPr>
    </w:pPr>
  </w:style>
  <w:style w:type="paragraph" w:customStyle="1" w:styleId="ListAlpha2">
    <w:name w:val="List Alpha 2"/>
    <w:basedOn w:val="List2"/>
    <w:rsid w:val="007817FB"/>
    <w:pPr>
      <w:numPr>
        <w:numId w:val="6"/>
      </w:numPr>
    </w:pPr>
  </w:style>
  <w:style w:type="paragraph" w:styleId="List2">
    <w:name w:val="List 2"/>
    <w:basedOn w:val="BodyText"/>
    <w:rsid w:val="00781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7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7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17FB"/>
    <w:pPr>
      <w:numPr>
        <w:numId w:val="2"/>
      </w:numPr>
    </w:pPr>
  </w:style>
  <w:style w:type="paragraph" w:styleId="ListContinue2">
    <w:name w:val="List Continue 2"/>
    <w:basedOn w:val="List2"/>
    <w:rsid w:val="007817FB"/>
    <w:pPr>
      <w:ind w:firstLine="0"/>
    </w:pPr>
  </w:style>
  <w:style w:type="paragraph" w:styleId="ListContinue3">
    <w:name w:val="List Continue 3"/>
    <w:basedOn w:val="List3"/>
    <w:rsid w:val="007817FB"/>
    <w:pPr>
      <w:ind w:left="1021" w:firstLine="0"/>
    </w:pPr>
  </w:style>
  <w:style w:type="paragraph" w:styleId="ListContinue4">
    <w:name w:val="List Continue 4"/>
    <w:basedOn w:val="List4"/>
    <w:rsid w:val="007817FB"/>
    <w:pPr>
      <w:ind w:firstLine="0"/>
    </w:pPr>
  </w:style>
  <w:style w:type="paragraph" w:styleId="ListContinue5">
    <w:name w:val="List Continue 5"/>
    <w:basedOn w:val="List5"/>
    <w:rsid w:val="007817FB"/>
    <w:pPr>
      <w:ind w:firstLine="0"/>
    </w:pPr>
  </w:style>
  <w:style w:type="paragraph" w:styleId="ListNumber3">
    <w:name w:val="List Number 3"/>
    <w:basedOn w:val="List3"/>
    <w:rsid w:val="007817FB"/>
    <w:pPr>
      <w:numPr>
        <w:numId w:val="3"/>
      </w:numPr>
    </w:pPr>
  </w:style>
  <w:style w:type="paragraph" w:styleId="ListNumber4">
    <w:name w:val="List Number 4"/>
    <w:basedOn w:val="List4"/>
    <w:rsid w:val="007817FB"/>
    <w:pPr>
      <w:numPr>
        <w:numId w:val="4"/>
      </w:numPr>
    </w:pPr>
  </w:style>
  <w:style w:type="paragraph" w:styleId="ListNumber5">
    <w:name w:val="List Number 5"/>
    <w:basedOn w:val="List5"/>
    <w:rsid w:val="007817FB"/>
    <w:pPr>
      <w:numPr>
        <w:numId w:val="5"/>
      </w:numPr>
    </w:pPr>
  </w:style>
  <w:style w:type="paragraph" w:styleId="BlockText">
    <w:name w:val="Block Text"/>
    <w:basedOn w:val="Normal"/>
    <w:rsid w:val="00781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7FB"/>
    <w:rPr>
      <w:sz w:val="16"/>
      <w:vertAlign w:val="superscript"/>
    </w:rPr>
  </w:style>
  <w:style w:type="character" w:customStyle="1" w:styleId="Symbols">
    <w:name w:val="Symbols"/>
    <w:basedOn w:val="DefaultParagraphFont"/>
    <w:rsid w:val="007817FB"/>
    <w:rPr>
      <w:rFonts w:ascii="Symbol" w:hAnsi="Symbol"/>
    </w:rPr>
  </w:style>
  <w:style w:type="character" w:customStyle="1" w:styleId="MenuOptions">
    <w:name w:val="Menu Options"/>
    <w:basedOn w:val="DefaultParagraphFont"/>
    <w:rsid w:val="00781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7FB"/>
    <w:rPr>
      <w:b/>
    </w:rPr>
  </w:style>
  <w:style w:type="character" w:customStyle="1" w:styleId="Underlined">
    <w:name w:val="Underlined"/>
    <w:basedOn w:val="DefaultParagraphFont"/>
    <w:rsid w:val="007817FB"/>
    <w:rPr>
      <w:u w:val="single"/>
    </w:rPr>
  </w:style>
  <w:style w:type="paragraph" w:customStyle="1" w:styleId="TableBodyTextRight">
    <w:name w:val="Table Body Text Right"/>
    <w:basedOn w:val="TableBodyText"/>
    <w:rsid w:val="00781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7FB"/>
    <w:rPr>
      <w:sz w:val="18"/>
    </w:rPr>
  </w:style>
  <w:style w:type="paragraph" w:customStyle="1" w:styleId="BodySmallRight">
    <w:name w:val="Body Small Right"/>
    <w:basedOn w:val="BodyTextRight"/>
    <w:rsid w:val="007817FB"/>
    <w:rPr>
      <w:sz w:val="18"/>
      <w:szCs w:val="18"/>
    </w:rPr>
  </w:style>
  <w:style w:type="paragraph" w:customStyle="1" w:styleId="MarginEdition">
    <w:name w:val="Margin Edition"/>
    <w:basedOn w:val="MarginNote"/>
    <w:rsid w:val="00781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7FB"/>
    <w:rPr>
      <w:sz w:val="2"/>
      <w:szCs w:val="2"/>
    </w:rPr>
  </w:style>
  <w:style w:type="character" w:customStyle="1" w:styleId="Small">
    <w:name w:val="Small"/>
    <w:basedOn w:val="DefaultParagraphFont"/>
    <w:rsid w:val="007817FB"/>
    <w:rPr>
      <w:sz w:val="16"/>
    </w:rPr>
  </w:style>
  <w:style w:type="paragraph" w:customStyle="1" w:styleId="WideTable">
    <w:name w:val="Wide Table"/>
    <w:basedOn w:val="Normal"/>
    <w:rsid w:val="00781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7FB"/>
  </w:style>
  <w:style w:type="paragraph" w:styleId="Quote">
    <w:name w:val="Quote"/>
    <w:basedOn w:val="Heading1"/>
    <w:link w:val="QuoteChar"/>
    <w:qFormat/>
    <w:rsid w:val="00781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7FB"/>
    <w:pPr>
      <w:pageBreakBefore/>
    </w:pPr>
  </w:style>
  <w:style w:type="paragraph" w:customStyle="1" w:styleId="Border">
    <w:name w:val="Border"/>
    <w:basedOn w:val="Normal"/>
    <w:qFormat/>
    <w:rsid w:val="00781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7FB"/>
    <w:rPr>
      <w:u w:val="single"/>
    </w:rPr>
  </w:style>
  <w:style w:type="character" w:customStyle="1" w:styleId="BoldandItalics">
    <w:name w:val="Bold and Italics"/>
    <w:qFormat/>
    <w:rsid w:val="007817FB"/>
    <w:rPr>
      <w:b/>
      <w:i/>
      <w:u w:val="none"/>
    </w:rPr>
  </w:style>
  <w:style w:type="paragraph" w:styleId="BalloonText">
    <w:name w:val="Balloon Text"/>
    <w:basedOn w:val="Normal"/>
    <w:link w:val="BalloonTextChar"/>
    <w:rsid w:val="00781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7FB"/>
    <w:pPr>
      <w:spacing w:before="0" w:after="0"/>
    </w:pPr>
  </w:style>
  <w:style w:type="paragraph" w:customStyle="1" w:styleId="BodyTextBold">
    <w:name w:val="Body Text Bold"/>
    <w:basedOn w:val="BodyText"/>
    <w:qFormat/>
    <w:rsid w:val="007817FB"/>
    <w:rPr>
      <w:b/>
    </w:rPr>
  </w:style>
  <w:style w:type="character" w:styleId="Hyperlink">
    <w:name w:val="Hyperlink"/>
    <w:basedOn w:val="DefaultParagraphFont"/>
    <w:uiPriority w:val="99"/>
    <w:unhideWhenUsed/>
    <w:rsid w:val="00DC5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3314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TLIW3013 Grind switches and crossings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2020-10-27T05:32:00Z</dcterms:created>
  <dcterms:modified xsi:type="dcterms:W3CDTF">2020-10-27T05:32:00Z</dcterms:modified>
</cp:coreProperties>
</file>