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EF9" w:rsidP="004D1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TLIW3013 Grind switches and crossings</w:t>
      </w:r>
      <w:r>
        <w:fldChar w:fldCharType="end"/>
      </w:r>
    </w:p>
    <w:p w:rsidR="004D1EF9" w:rsidP="004D1EF9">
      <w:pPr>
        <w:pStyle w:val="Version"/>
        <w:sectPr w:rsidSect="00340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FC2" w:rsidP="00340FC2">
      <w:pPr>
        <w:pStyle w:val="SuperHeading"/>
      </w:pPr>
      <w:r w:rsidRPr="00340FC2">
        <w:t>TLIW3013 Grind switches and crossings</w:t>
      </w:r>
    </w:p>
    <w:p w:rsidR="00000000" w:rsidRPr="00340FC2" w:rsidP="00340FC2">
      <w:pPr>
        <w:pStyle w:val="Heading1"/>
      </w:pPr>
      <w:bookmarkStart w:id="1" w:name="O_754183"/>
      <w:bookmarkEnd w:id="1"/>
      <w:r w:rsidRPr="00340FC2">
        <w:t>Modification History</w:t>
      </w:r>
    </w:p>
    <w:p w:rsidR="004D1EF9" w:rsidP="004D1EF9">
      <w:pPr>
        <w:pStyle w:val="BodyText"/>
      </w:pPr>
      <w:r w:rsidRPr="00340FC2">
        <w:t>Release 1. This is the first release of this unit of competency in the TLI Transport and Logistics Training Package.</w:t>
      </w:r>
    </w:p>
    <w:p w:rsidR="00000000" w:rsidRPr="00340FC2" w:rsidP="00340FC2">
      <w:pPr>
        <w:pStyle w:val="Heading1"/>
      </w:pPr>
      <w:bookmarkStart w:id="2" w:name="O_754184"/>
      <w:bookmarkEnd w:id="2"/>
      <w:r w:rsidRPr="00340FC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BodyText"/>
            </w:pPr>
            <w:r w:rsidRPr="00340FC2">
              <w:t xml:space="preserve">This unit involves the skills and knowledge required to grind switches and crossings in </w:t>
            </w:r>
            <w:r w:rsidRPr="00340FC2">
              <w:t xml:space="preserve">accordance with rail industry standards, safeworking and regulatory requirements, and workplace procedures. </w:t>
            </w:r>
          </w:p>
          <w:p w:rsidR="00000000" w:rsidRPr="00340FC2" w:rsidP="00340FC2">
            <w:pPr>
              <w:pStyle w:val="BodyText"/>
            </w:pPr>
            <w:r w:rsidRPr="00340FC2">
              <w:t>It includes determining job requirements, grinding weld and/or weld repair, grinding switches and crossings to repair surface defects, and completi</w:t>
            </w:r>
            <w:r w:rsidRPr="00340FC2">
              <w:t xml:space="preserve">ng all required documentation. </w:t>
            </w:r>
          </w:p>
          <w:p w:rsidR="00000000" w:rsidRPr="00340FC2" w:rsidP="00340FC2">
            <w:pPr>
              <w:pStyle w:val="BodyText"/>
            </w:pPr>
            <w:r w:rsidRPr="00340FC2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340FC2" w:rsidP="00340FC2">
            <w:pPr>
              <w:pStyle w:val="BodyText"/>
            </w:pPr>
            <w:r w:rsidRPr="00340FC2">
              <w:t>Work is performed under some su</w:t>
            </w:r>
            <w:r w:rsidRPr="00340FC2">
              <w:t>pervision, generally within a team environment. It involves the application of routine operational principles and procedures when grinding switches and crossings, as part of workplace activities across a variety of operational contexts within the Australia</w:t>
            </w:r>
            <w:r w:rsidRPr="00340FC2">
              <w:t>n rail system.</w:t>
            </w:r>
          </w:p>
          <w:p w:rsidR="00000000" w:rsidRPr="00340FC2" w:rsidP="00340FC2">
            <w:pPr>
              <w:pStyle w:val="BodyText"/>
            </w:pPr>
            <w:r w:rsidRPr="00340FC2">
              <w:t>No licensing, legislative or certification requirements apply to this unit at the time of publication.</w:t>
            </w:r>
          </w:p>
        </w:tc>
      </w:tr>
    </w:tbl>
    <w:p w:rsidR="004D1EF9" w:rsidP="00340FC2">
      <w:pPr>
        <w:pStyle w:val="BodyText"/>
      </w:pPr>
    </w:p>
    <w:p w:rsidR="004D1EF9" w:rsidP="00340FC2">
      <w:pPr>
        <w:pStyle w:val="BodyText"/>
      </w:pPr>
    </w:p>
    <w:p w:rsidR="00000000" w:rsidRPr="00340FC2" w:rsidP="00340FC2">
      <w:pPr>
        <w:pStyle w:val="Heading1"/>
      </w:pPr>
      <w:bookmarkStart w:id="3" w:name="O_754185"/>
      <w:bookmarkEnd w:id="3"/>
      <w:r w:rsidRPr="00340FC2">
        <w:t>Pre-requisite Unit</w:t>
      </w:r>
    </w:p>
    <w:p w:rsidR="004D1EF9" w:rsidP="004D1EF9">
      <w:pPr>
        <w:pStyle w:val="BodyText"/>
      </w:pPr>
      <w:r w:rsidRPr="00340FC2">
        <w:t>Not applicable.</w:t>
      </w:r>
    </w:p>
    <w:p w:rsidR="00000000" w:rsidRPr="00340FC2" w:rsidP="00340FC2">
      <w:pPr>
        <w:pStyle w:val="Heading1"/>
      </w:pPr>
      <w:bookmarkStart w:id="4" w:name="O_754186"/>
      <w:bookmarkEnd w:id="4"/>
      <w:r w:rsidRPr="00340FC2">
        <w:t>Competency Field</w:t>
      </w:r>
    </w:p>
    <w:p w:rsidR="004D1EF9" w:rsidP="004D1EF9">
      <w:pPr>
        <w:pStyle w:val="BodyText"/>
      </w:pPr>
      <w:r w:rsidRPr="00340FC2">
        <w:t>W – Equipment and Systems Operations</w:t>
      </w:r>
    </w:p>
    <w:p w:rsidR="00000000" w:rsidRPr="00340FC2" w:rsidP="00340FC2">
      <w:pPr>
        <w:pStyle w:val="Heading1"/>
      </w:pPr>
      <w:bookmarkStart w:id="5" w:name="O_754187"/>
      <w:bookmarkEnd w:id="5"/>
      <w:r w:rsidRPr="00340FC2">
        <w:t>Unit Sector</w:t>
      </w:r>
    </w:p>
    <w:p w:rsidR="004D1EF9" w:rsidP="004D1EF9">
      <w:pPr>
        <w:pStyle w:val="BodyText"/>
      </w:pPr>
      <w:r w:rsidRPr="00340FC2">
        <w:t>Not applicable.</w:t>
      </w:r>
    </w:p>
    <w:p w:rsidR="00000000" w:rsidRPr="00340FC2" w:rsidP="00340FC2">
      <w:pPr>
        <w:pStyle w:val="Heading1"/>
      </w:pPr>
      <w:bookmarkStart w:id="6" w:name="O_754188"/>
      <w:bookmarkEnd w:id="6"/>
      <w:r w:rsidRPr="00340F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 xml:space="preserve">Elements describe the </w:t>
            </w:r>
            <w:r w:rsidRPr="00340FC2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 xml:space="preserve">Performance criteria describe the performance needed to demonstrate achievement of the </w:t>
            </w:r>
            <w:r w:rsidRPr="00340FC2">
              <w:t>element.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BodyText"/>
            </w:pPr>
            <w:r w:rsidRPr="00340FC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rPr>
                <w:rStyle w:val="SpecialBold"/>
              </w:rPr>
              <w:t>Determine job requirement</w:t>
            </w:r>
            <w:r w:rsidRPr="00340FC2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Weld repairs are located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Defects relating to rail surface profile and condition in switches and crossings are identified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Hazards are identified, risks are assessed and control measures are implemented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Appropriate equipment is selected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Appropriate repair method and/or profile is selected to ensure completed work will meet specifications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Site is cleared of obstructions and combustible material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BodyText"/>
            </w:pPr>
            <w:r w:rsidRPr="00340FC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rPr>
                <w:rStyle w:val="SpecialBold"/>
              </w:rPr>
              <w:t>Grind weld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Switch or crossing is ground to nominated profile after installation or welded repair using approved equipment in accordance with workplace procedures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Grinding equipment is operated safely in accordance with work health and safety (WHS)/occupational health and safety (OHS) and environmental requirements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Switch or crossing profile and alignment are measured to ensure compliance with acceptance stan</w:t>
            </w:r>
            <w:r w:rsidRPr="00340FC2">
              <w:t>dards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Rail surface condition is assessed for compliance with acceptance standards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BodyText"/>
            </w:pPr>
            <w:r w:rsidRPr="00340FC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rPr>
                <w:rStyle w:val="SpecialBold"/>
              </w:rPr>
              <w:t>Grind switch or crossing to repair surface defects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Switch or crossing is ground using approved equipment in accordance with workplace procedures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Grinding equipment is operated safely in accordance with WHS/OHS and environmental requirements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Finished surface is checked to ensure compliance with acceptance standards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BodyText"/>
            </w:pPr>
            <w:r w:rsidRPr="00340FC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Required documentation procedures and processes are confirmed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 xml:space="preserve">Documentation is filled in legibly and proofread 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BodyText"/>
            </w:pPr>
            <w:r w:rsidRPr="00340FC2">
              <w:t>Documentation is processed in accordance with workplace requirements</w:t>
            </w:r>
          </w:p>
        </w:tc>
      </w:tr>
    </w:tbl>
    <w:p w:rsidR="004D1EF9" w:rsidP="00340FC2">
      <w:pPr>
        <w:pStyle w:val="BodyText"/>
      </w:pPr>
    </w:p>
    <w:p w:rsidR="004D1EF9" w:rsidP="00340FC2">
      <w:pPr>
        <w:pStyle w:val="BodyText"/>
      </w:pPr>
    </w:p>
    <w:p w:rsidR="00000000" w:rsidRPr="00340FC2" w:rsidP="00340FC2">
      <w:pPr>
        <w:pStyle w:val="Heading1"/>
      </w:pPr>
      <w:bookmarkStart w:id="7" w:name="O_754189"/>
      <w:bookmarkEnd w:id="7"/>
      <w:r w:rsidRPr="00340FC2">
        <w:t>Foundation Skills</w:t>
      </w:r>
    </w:p>
    <w:p w:rsidR="004D1EF9" w:rsidP="004D1EF9">
      <w:pPr>
        <w:pStyle w:val="BodyText"/>
      </w:pPr>
      <w:r w:rsidRPr="00340FC2">
        <w:t>Foundation skills essential to performance are explicit in the performance criteria of this unit of competency.</w:t>
      </w:r>
    </w:p>
    <w:p w:rsidR="00000000" w:rsidRPr="00340FC2" w:rsidP="00340FC2">
      <w:pPr>
        <w:pStyle w:val="Heading1"/>
      </w:pPr>
      <w:bookmarkStart w:id="8" w:name="O_754190"/>
      <w:bookmarkEnd w:id="8"/>
      <w:r w:rsidRPr="00340FC2">
        <w:t>Range of Conditions</w:t>
      </w:r>
    </w:p>
    <w:p w:rsidR="00000000" w:rsidRPr="00340FC2" w:rsidP="004D1EF9">
      <w:pPr>
        <w:pStyle w:val="BodyText"/>
      </w:pPr>
      <w:r w:rsidRPr="00340FC2">
        <w:t>Range is restricted to essential operating conditions and any other variables essential to the work enviro</w:t>
      </w:r>
      <w:r w:rsidRPr="00340FC2">
        <w:t>nment.</w:t>
      </w:r>
    </w:p>
    <w:p w:rsidR="004D1EF9" w:rsidP="004D1EF9">
      <w:pPr>
        <w:pStyle w:val="BodyText"/>
      </w:pPr>
      <w:r w:rsidRPr="00340FC2">
        <w:t>Non-essential conditions can be found in the Companion Volume Implementation Guide.</w:t>
      </w:r>
    </w:p>
    <w:p w:rsidR="00000000" w:rsidRPr="00340FC2" w:rsidP="00340FC2">
      <w:pPr>
        <w:pStyle w:val="Heading1"/>
      </w:pPr>
      <w:bookmarkStart w:id="9" w:name="O_754191"/>
      <w:bookmarkEnd w:id="9"/>
      <w:r w:rsidRPr="00340FC2">
        <w:t>Unit Mapping Information</w:t>
      </w:r>
    </w:p>
    <w:p w:rsidR="004D1EF9" w:rsidP="004D1EF9">
      <w:pPr>
        <w:pStyle w:val="BodyText"/>
      </w:pPr>
      <w:r w:rsidRPr="00340FC2">
        <w:t>This unit replaces and is equivalent to TLIW3013A Grind switches and crossings.</w:t>
      </w:r>
    </w:p>
    <w:p w:rsidR="00000000" w:rsidRPr="00340FC2" w:rsidP="00340FC2">
      <w:pPr>
        <w:pStyle w:val="Heading1"/>
      </w:pPr>
      <w:bookmarkStart w:id="10" w:name="O_754198"/>
      <w:bookmarkEnd w:id="10"/>
      <w:r w:rsidRPr="00340FC2">
        <w:t>Links</w:t>
      </w:r>
    </w:p>
    <w:p w:rsidR="00000000" w:rsidRPr="00340FC2" w:rsidP="004D1EF9">
      <w:pPr>
        <w:pStyle w:val="BodyText"/>
      </w:pPr>
      <w:r w:rsidRPr="00340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D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0FC2" w:rsidP="004D1EF9">
      <w:pPr>
        <w:pStyle w:val="BodyText"/>
        <w:sectPr w:rsidSect="00340F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0FC2" w:rsidP="00340FC2">
      <w:pPr>
        <w:pStyle w:val="SuperHeading"/>
      </w:pPr>
      <w:r w:rsidRPr="00340FC2">
        <w:t>Assessment Requirements for TLIW3013 Grind switches and crossin</w:t>
      </w:r>
      <w:r w:rsidRPr="00340FC2">
        <w:t>gs</w:t>
      </w:r>
    </w:p>
    <w:p w:rsidR="00000000" w:rsidRPr="00340FC2" w:rsidP="00340FC2">
      <w:pPr>
        <w:pStyle w:val="Heading1"/>
      </w:pPr>
      <w:bookmarkStart w:id="11" w:name="O_754193"/>
      <w:bookmarkEnd w:id="11"/>
      <w:r w:rsidRPr="00340FC2">
        <w:t>Modification History</w:t>
      </w:r>
    </w:p>
    <w:p w:rsidR="004D1EF9" w:rsidP="004D1EF9">
      <w:pPr>
        <w:pStyle w:val="BodyText"/>
      </w:pPr>
      <w:r w:rsidRPr="00340FC2">
        <w:t>Release 1. This is the first release of this unit of competency in the TLI Transport and Logistics Training Package.</w:t>
      </w:r>
    </w:p>
    <w:p w:rsidR="00000000" w:rsidRPr="00340FC2" w:rsidP="00340FC2">
      <w:pPr>
        <w:pStyle w:val="Heading1"/>
      </w:pPr>
      <w:bookmarkStart w:id="12" w:name="O_754194"/>
      <w:bookmarkEnd w:id="12"/>
      <w:r w:rsidRPr="00340FC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 xml:space="preserve">Evidence required to demonstrate competence in this unit must be relevant to and satisfy all of the requirements of the elements and performance criteria on </w:t>
            </w:r>
            <w:r w:rsidRPr="00340FC2">
              <w:rPr>
                <w:rStyle w:val="SpecialBold"/>
              </w:rPr>
              <w:t>at least five</w:t>
            </w:r>
            <w:r w:rsidRPr="00340FC2">
              <w:t xml:space="preserve"> separate occasions and include: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ListBullet"/>
            </w:pPr>
            <w:r w:rsidRPr="00340FC2">
              <w:t xml:space="preserve">applying grinding techniques to achieve switch and </w:t>
            </w:r>
            <w:r w:rsidRPr="00340FC2">
              <w:t>crossing profile and surface condition to meet required rail industry standards and workplace procedures</w:t>
            </w:r>
          </w:p>
          <w:p w:rsidR="00000000" w:rsidRPr="00340FC2" w:rsidP="00340FC2">
            <w:pPr>
              <w:pStyle w:val="ListBullet"/>
            </w:pPr>
            <w:r w:rsidRPr="00340FC2">
              <w:t>applying relevant safeworking system and workplace procedures</w:t>
            </w:r>
          </w:p>
          <w:p w:rsidR="00000000" w:rsidRPr="00340FC2" w:rsidP="00340FC2">
            <w:pPr>
              <w:pStyle w:val="ListBullet"/>
            </w:pPr>
            <w:r w:rsidRPr="00340FC2">
              <w:t>grinding weld repairs using appropriate grinding wheel speed and rate of metal removal in accordance with workplace procedures</w:t>
            </w:r>
          </w:p>
          <w:p w:rsidR="00000000" w:rsidRPr="00340FC2" w:rsidP="00340FC2">
            <w:pPr>
              <w:pStyle w:val="ListBullet"/>
            </w:pPr>
            <w:r w:rsidRPr="00340FC2">
              <w:t xml:space="preserve">identifying job hazards and taking required action to minimise, control or eliminate identified hazards </w:t>
            </w:r>
          </w:p>
          <w:p w:rsidR="00000000" w:rsidRPr="00340FC2" w:rsidP="00340FC2">
            <w:pPr>
              <w:pStyle w:val="ListBullet"/>
            </w:pPr>
            <w:r w:rsidRPr="00340FC2">
              <w:t>implementing contingency</w:t>
            </w:r>
            <w:r w:rsidRPr="00340FC2">
              <w:t xml:space="preserve"> plans </w:t>
            </w:r>
          </w:p>
          <w:p w:rsidR="00000000" w:rsidRPr="00340FC2" w:rsidP="00340FC2">
            <w:pPr>
              <w:pStyle w:val="ListBullet"/>
            </w:pPr>
            <w:r w:rsidRPr="00340FC2">
              <w:t xml:space="preserve">interpreting and following operational instructions and prioritising work </w:t>
            </w:r>
          </w:p>
          <w:p w:rsidR="00000000" w:rsidRPr="00340FC2" w:rsidP="00340FC2">
            <w:pPr>
              <w:pStyle w:val="ListBullet"/>
            </w:pPr>
            <w:r w:rsidRPr="00340FC2">
              <w:t>modifying activities depending on operational contingencies, risk situations and environments</w:t>
            </w:r>
          </w:p>
          <w:p w:rsidR="00000000" w:rsidRPr="00340FC2" w:rsidP="00340FC2">
            <w:pPr>
              <w:pStyle w:val="ListBullet"/>
            </w:pPr>
            <w:r w:rsidRPr="00340FC2">
              <w:t>monitoring work activities in terms of planned schedule</w:t>
            </w:r>
          </w:p>
          <w:p w:rsidR="00000000" w:rsidRPr="00340FC2" w:rsidP="00340FC2">
            <w:pPr>
              <w:pStyle w:val="ListBullet"/>
            </w:pPr>
            <w:r w:rsidRPr="00340FC2">
              <w:t xml:space="preserve">operating and adapting </w:t>
            </w:r>
            <w:r w:rsidRPr="00340FC2">
              <w:t>to differences in equipment in accordance with operating procedures</w:t>
            </w:r>
          </w:p>
          <w:p w:rsidR="00000000" w:rsidRPr="00340FC2" w:rsidP="00340FC2">
            <w:pPr>
              <w:pStyle w:val="ListBullet"/>
            </w:pPr>
            <w:r w:rsidRPr="00340FC2">
              <w:t>operating grinding equipment safely</w:t>
            </w:r>
          </w:p>
          <w:p w:rsidR="00000000" w:rsidRPr="00340FC2" w:rsidP="00340FC2">
            <w:pPr>
              <w:pStyle w:val="ListBullet"/>
            </w:pPr>
            <w:r w:rsidRPr="00340FC2">
              <w:t xml:space="preserve">reading and interpreting relevant technical data, drawings, instructions and manuals </w:t>
            </w:r>
          </w:p>
          <w:p w:rsidR="00000000" w:rsidRPr="00340FC2" w:rsidP="00340FC2">
            <w:pPr>
              <w:pStyle w:val="ListBullet"/>
            </w:pPr>
            <w:r w:rsidRPr="00340FC2">
              <w:t>reporting and/or rectifying identified problems, in accordance wit</w:t>
            </w:r>
            <w:r w:rsidRPr="00340FC2">
              <w:t>h workplace procedures</w:t>
            </w:r>
          </w:p>
          <w:p w:rsidR="00000000" w:rsidRPr="00340FC2" w:rsidP="00340FC2">
            <w:pPr>
              <w:pStyle w:val="ListBullet"/>
            </w:pPr>
            <w:r w:rsidRPr="00340FC2">
              <w:t>selecting and using hand tools, power tools and equipment in accordance with workplace procedures</w:t>
            </w:r>
          </w:p>
          <w:p w:rsidR="00000000" w:rsidRPr="00340FC2" w:rsidP="00340FC2">
            <w:pPr>
              <w:pStyle w:val="ListBullet"/>
            </w:pPr>
            <w:r w:rsidRPr="00340FC2">
              <w:t>working systematically with required attention to detail without injury to self or others, or damage to goods or equipment.</w:t>
            </w:r>
          </w:p>
        </w:tc>
      </w:tr>
    </w:tbl>
    <w:p w:rsidR="00000000" w:rsidRPr="00340FC2" w:rsidP="00340FC2">
      <w:pPr>
        <w:pStyle w:val="BodyText"/>
      </w:pPr>
    </w:p>
    <w:p w:rsidR="00000000" w:rsidRPr="00340FC2" w:rsidP="00340FC2">
      <w:pPr>
        <w:pStyle w:val="AllowPageBreak"/>
      </w:pPr>
    </w:p>
    <w:p w:rsidR="00000000" w:rsidRPr="00340FC2" w:rsidP="00340FC2">
      <w:pPr>
        <w:pStyle w:val="Heading1"/>
      </w:pPr>
      <w:bookmarkStart w:id="13" w:name="O_754195"/>
      <w:bookmarkEnd w:id="13"/>
      <w:r w:rsidRPr="00340FC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C2">
            <w:pPr>
              <w:pStyle w:val="BodyText"/>
              <w:rPr>
                <w:lang w:val="en-NZ"/>
              </w:rPr>
            </w:pPr>
            <w:r w:rsidRPr="00340FC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ListBullet"/>
            </w:pPr>
            <w:r w:rsidRPr="00340FC2">
              <w:t>grinding methods and results</w:t>
            </w:r>
          </w:p>
          <w:p w:rsidR="00000000" w:rsidRPr="00340FC2" w:rsidP="00340FC2">
            <w:pPr>
              <w:pStyle w:val="ListBullet"/>
            </w:pPr>
            <w:r w:rsidRPr="00340FC2">
              <w:t>hazards that may e</w:t>
            </w:r>
            <w:r w:rsidRPr="00340FC2">
              <w:t>xist when grinding switches and crossings, and ways of controlling the risks involved</w:t>
            </w:r>
          </w:p>
          <w:p w:rsidR="00000000" w:rsidRPr="00340FC2" w:rsidP="00340FC2">
            <w:pPr>
              <w:pStyle w:val="ListBullet"/>
            </w:pPr>
            <w:r w:rsidRPr="00340FC2">
              <w:t>problems that may occur when grinding switches and crossings, and action that can be taken to report or resolve these problems</w:t>
            </w:r>
          </w:p>
          <w:p w:rsidR="00000000" w:rsidRPr="00340FC2" w:rsidP="00340FC2">
            <w:pPr>
              <w:pStyle w:val="ListBullet"/>
            </w:pPr>
            <w:r w:rsidRPr="00340FC2">
              <w:t>relevant rail industry standards for switch</w:t>
            </w:r>
            <w:r w:rsidRPr="00340FC2">
              <w:t xml:space="preserve"> or crossing profile and surface condition</w:t>
            </w:r>
          </w:p>
          <w:p w:rsidR="00000000" w:rsidRPr="00340FC2" w:rsidP="00340FC2">
            <w:pPr>
              <w:pStyle w:val="ListBullet"/>
            </w:pPr>
            <w:r w:rsidRPr="00340FC2">
              <w:t>relevant recording and documentation procedures</w:t>
            </w:r>
          </w:p>
          <w:p w:rsidR="00000000" w:rsidRPr="00340FC2" w:rsidP="00340FC2">
            <w:pPr>
              <w:pStyle w:val="ListBullet"/>
            </w:pPr>
            <w:r w:rsidRPr="00340FC2">
              <w:t>relevant safety, work health and safety (WHS)/occupational health and safety (OHS) and environmental procedures and regulations</w:t>
            </w:r>
          </w:p>
          <w:p w:rsidR="00000000" w:rsidRPr="00340FC2" w:rsidP="00340FC2">
            <w:pPr>
              <w:pStyle w:val="ListBullet"/>
            </w:pPr>
            <w:r w:rsidRPr="00340FC2">
              <w:t>workplace procedures for grinding swi</w:t>
            </w:r>
            <w:r w:rsidRPr="00340FC2">
              <w:t>tches and crossings.</w:t>
            </w:r>
          </w:p>
        </w:tc>
      </w:tr>
    </w:tbl>
    <w:p w:rsidR="00000000" w:rsidRPr="00340FC2" w:rsidP="00340FC2">
      <w:pPr>
        <w:pStyle w:val="BodyText"/>
      </w:pPr>
    </w:p>
    <w:p w:rsidR="00000000" w:rsidRPr="00340FC2" w:rsidP="00340FC2">
      <w:pPr>
        <w:pStyle w:val="AllowPageBreak"/>
      </w:pPr>
    </w:p>
    <w:p w:rsidR="00000000" w:rsidRPr="00340FC2" w:rsidP="00340FC2">
      <w:pPr>
        <w:pStyle w:val="Heading1"/>
      </w:pPr>
      <w:bookmarkStart w:id="14" w:name="O_754196"/>
      <w:bookmarkEnd w:id="14"/>
      <w:r w:rsidRPr="00340FC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1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C2" w:rsidP="00340FC2">
            <w:pPr>
              <w:pStyle w:val="BodyText"/>
            </w:pPr>
            <w:r w:rsidRPr="00340FC2">
              <w:t xml:space="preserve">As a minimum, assessors must satisfy applicable regulatory requirements, which include requirements in the </w:t>
            </w:r>
            <w:r w:rsidRPr="00340FC2">
              <w:rPr>
                <w:rStyle w:val="Emphasis"/>
              </w:rPr>
              <w:t>Standards for Registered Training Organisations</w:t>
            </w:r>
            <w:r w:rsidRPr="00340FC2">
              <w:t xml:space="preserve"> current at the time of assessment. </w:t>
            </w:r>
          </w:p>
          <w:p w:rsidR="00000000" w:rsidRPr="00340FC2" w:rsidP="00340FC2">
            <w:pPr>
              <w:pStyle w:val="BodyText"/>
            </w:pPr>
            <w:r w:rsidRPr="00340FC2">
              <w:t xml:space="preserve">As a minimum, assessment must satisfy applicable regulatory requirements, which include requirements in the </w:t>
            </w:r>
            <w:r w:rsidRPr="00340FC2">
              <w:rPr>
                <w:rStyle w:val="Emphasis"/>
              </w:rPr>
              <w:t>Standards for Registered Training Organisations</w:t>
            </w:r>
            <w:r w:rsidRPr="00340FC2">
              <w:t xml:space="preserve"> current at the time of assessment.</w:t>
            </w:r>
          </w:p>
          <w:p w:rsidR="00000000" w:rsidRPr="00340FC2" w:rsidP="00340FC2">
            <w:pPr>
              <w:pStyle w:val="BodyText"/>
            </w:pPr>
            <w:r w:rsidRPr="00340FC2">
              <w:t>Assessment must occur in workplace operational situations or, whe</w:t>
            </w:r>
            <w:r w:rsidRPr="00340FC2">
              <w:t>re this is not available, in simulated workplace operational situations that replicate rail corridor workplace conditions.</w:t>
            </w:r>
          </w:p>
          <w:p w:rsidR="00000000" w:rsidRPr="00340FC2" w:rsidP="00340FC2">
            <w:pPr>
              <w:pStyle w:val="BodyText"/>
            </w:pPr>
            <w:r w:rsidRPr="00340FC2">
              <w:t>Assessment processes and techniques must be appropriate to the language, literacy and numeracy requirements of the work being perform</w:t>
            </w:r>
            <w:r w:rsidRPr="00340FC2">
              <w:t>ed and the needs of the candidate.</w:t>
            </w:r>
          </w:p>
          <w:p w:rsidR="00000000" w:rsidRPr="00340FC2" w:rsidP="00340FC2">
            <w:pPr>
              <w:pStyle w:val="BodyText"/>
            </w:pPr>
            <w:r w:rsidRPr="00340FC2">
              <w:t>Resources for assessment include:</w:t>
            </w:r>
          </w:p>
          <w:p w:rsidR="00000000" w:rsidRPr="00340FC2" w:rsidP="00340FC2">
            <w:pPr>
              <w:pStyle w:val="ListBullet"/>
            </w:pPr>
            <w:r w:rsidRPr="00340FC2">
              <w:t>a range of relevant exercises, case studies and/or simulations</w:t>
            </w:r>
          </w:p>
          <w:p w:rsidR="00000000" w:rsidRPr="00340FC2" w:rsidP="00340FC2">
            <w:pPr>
              <w:pStyle w:val="ListBullet"/>
            </w:pPr>
            <w:r w:rsidRPr="00340FC2">
              <w:t>relevant and appropriate materials, tools, equipment and personal protective equipment currently used in industry</w:t>
            </w:r>
          </w:p>
          <w:p w:rsidR="00000000" w:rsidRPr="00340FC2" w:rsidP="00340FC2">
            <w:pPr>
              <w:pStyle w:val="ListBullet"/>
            </w:pPr>
            <w:r w:rsidRPr="00340FC2">
              <w:t>applicabl</w:t>
            </w:r>
            <w:r w:rsidRPr="00340FC2">
              <w:t>e documentation including workplace procedures, regulations, rail industry standards, codes of practice and operation manuals.</w:t>
            </w:r>
          </w:p>
        </w:tc>
      </w:tr>
    </w:tbl>
    <w:p w:rsidR="00000000" w:rsidRPr="00340FC2" w:rsidP="00340FC2">
      <w:pPr>
        <w:pStyle w:val="BodyText"/>
      </w:pPr>
    </w:p>
    <w:p w:rsidR="00000000" w:rsidRPr="00340FC2" w:rsidP="00340FC2">
      <w:pPr>
        <w:pStyle w:val="AllowPageBreak"/>
      </w:pPr>
    </w:p>
    <w:p w:rsidR="00000000" w:rsidRPr="00340FC2" w:rsidP="00340FC2">
      <w:pPr>
        <w:pStyle w:val="Heading1"/>
      </w:pPr>
      <w:bookmarkStart w:id="15" w:name="O_754199"/>
      <w:bookmarkEnd w:id="15"/>
      <w:r w:rsidRPr="00340FC2">
        <w:t>Links</w:t>
      </w:r>
    </w:p>
    <w:p w:rsidR="00000000" w:rsidRPr="00340FC2" w:rsidP="004D1EF9">
      <w:pPr>
        <w:pStyle w:val="BodyText"/>
      </w:pPr>
      <w:r w:rsidRPr="00340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D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0FC2" w:rsidP="00340FC2"/>
    <w:sectPr w:rsidSect="00340F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C2" w:rsidRPr="004D1EF9" w:rsidP="004D1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EF9" w:rsidP="00340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EF9" w:rsidP="00340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1EF9" w:rsidP="00340F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C2" w:rsidP="00340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1EF9">
      <w:t>Approved</w:t>
    </w:r>
    <w:r w:rsidR="004D1E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1E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1EF9">
      <w:rPr>
        <w:noProof/>
      </w:rPr>
      <w:t>4</w:t>
    </w:r>
    <w:r>
      <w:rPr>
        <w:noProof/>
      </w:rPr>
      <w:fldChar w:fldCharType="end"/>
    </w:r>
  </w:p>
  <w:p w:rsidR="00340FC2" w:rsidP="00340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1E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1EF9">
      <w:t>Industry Skills Australia</w:t>
    </w:r>
    <w:r w:rsidR="004D1EF9">
      <w:fldChar w:fldCharType="end"/>
    </w:r>
  </w:p>
  <w:p w:rsidR="00340FC2" w:rsidP="00340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FC2" w:rsidRPr="004D1EF9" w:rsidP="004D1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EF9" w:rsidRPr="002D2AF8" w:rsidP="00340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TLIW3013 Grind switches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1EF9" w:rsidP="00340F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C2" w:rsidRPr="002D2AF8" w:rsidP="00340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1EF9">
      <w:t>TLIW3013 Grind switches and crossings</w:t>
    </w:r>
    <w:r w:rsidR="004D1E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1EF9">
      <w:rPr>
        <w:noProof/>
      </w:rPr>
      <w:t>2 March 2025</w:t>
    </w:r>
    <w:r>
      <w:fldChar w:fldCharType="end"/>
    </w:r>
  </w:p>
  <w:p w:rsidR="00340FC2" w:rsidP="00340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841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288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FC2"/>
  </w:style>
  <w:style w:type="character" w:customStyle="1" w:styleId="Heading1Char">
    <w:name w:val="Heading 1 Char"/>
    <w:basedOn w:val="DefaultParagraphFont"/>
    <w:link w:val="Heading1"/>
    <w:rsid w:val="00340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F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FC2"/>
    <w:rPr>
      <w:b/>
      <w:spacing w:val="0"/>
    </w:rPr>
  </w:style>
  <w:style w:type="character" w:styleId="Emphasis">
    <w:name w:val="Emphasis"/>
    <w:basedOn w:val="DefaultParagraphFont"/>
    <w:qFormat/>
    <w:rsid w:val="00340FC2"/>
    <w:rPr>
      <w:i/>
    </w:rPr>
  </w:style>
  <w:style w:type="paragraph" w:customStyle="1" w:styleId="SuperHeading">
    <w:name w:val="SuperHeading"/>
    <w:basedOn w:val="Normal"/>
    <w:rsid w:val="00340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F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0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FC2"/>
  </w:style>
  <w:style w:type="paragraph" w:styleId="TableofFigures">
    <w:name w:val="table of figures"/>
    <w:basedOn w:val="Normal"/>
    <w:next w:val="Normal"/>
    <w:semiHidden/>
    <w:rsid w:val="00340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0FC2"/>
    <w:rPr>
      <w:rFonts w:ascii="Wingdings" w:hAnsi="Wingdings"/>
    </w:rPr>
  </w:style>
  <w:style w:type="paragraph" w:customStyle="1" w:styleId="TableHeading">
    <w:name w:val="Table Heading"/>
    <w:basedOn w:val="HeadingBase"/>
    <w:rsid w:val="00340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FC2"/>
    <w:rPr>
      <w:color w:val="0033CC"/>
      <w:u w:val="none"/>
    </w:rPr>
  </w:style>
  <w:style w:type="paragraph" w:customStyle="1" w:styleId="BodyTextRight">
    <w:name w:val="Body Text Right"/>
    <w:basedOn w:val="BodyText"/>
    <w:rsid w:val="00340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FC2"/>
    <w:rPr>
      <w:sz w:val="32"/>
    </w:rPr>
  </w:style>
  <w:style w:type="paragraph" w:customStyle="1" w:styleId="HeadingProcedure">
    <w:name w:val="Heading Procedure"/>
    <w:basedOn w:val="HeadingBase"/>
    <w:next w:val="Normal"/>
    <w:rsid w:val="00340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FC2"/>
    <w:pPr>
      <w:spacing w:before="60" w:after="60"/>
    </w:pPr>
  </w:style>
  <w:style w:type="paragraph" w:styleId="ListContinue">
    <w:name w:val="List Continue"/>
    <w:basedOn w:val="List"/>
    <w:rsid w:val="00340FC2"/>
    <w:pPr>
      <w:ind w:firstLine="0"/>
    </w:pPr>
  </w:style>
  <w:style w:type="paragraph" w:customStyle="1" w:styleId="ListNote">
    <w:name w:val="List Note"/>
    <w:basedOn w:val="List"/>
    <w:rsid w:val="00340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FC2"/>
    <w:rPr>
      <w:rFonts w:ascii="Courier New" w:hAnsi="Courier New"/>
    </w:rPr>
  </w:style>
  <w:style w:type="paragraph" w:customStyle="1" w:styleId="NoteBullet">
    <w:name w:val="Note Bullet"/>
    <w:basedOn w:val="Note"/>
    <w:rsid w:val="00340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FC2"/>
    <w:rPr>
      <w:b/>
      <w:smallCaps/>
    </w:rPr>
  </w:style>
  <w:style w:type="paragraph" w:customStyle="1" w:styleId="TableListNumber">
    <w:name w:val="Table List Number"/>
    <w:basedOn w:val="ListNumber"/>
    <w:rsid w:val="00340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FC2"/>
    <w:pPr>
      <w:numPr>
        <w:numId w:val="8"/>
      </w:numPr>
    </w:pPr>
  </w:style>
  <w:style w:type="paragraph" w:customStyle="1" w:styleId="ListAlpha2">
    <w:name w:val="List Alpha 2"/>
    <w:basedOn w:val="List2"/>
    <w:rsid w:val="00340FC2"/>
    <w:pPr>
      <w:numPr>
        <w:numId w:val="7"/>
      </w:numPr>
    </w:pPr>
  </w:style>
  <w:style w:type="paragraph" w:styleId="List2">
    <w:name w:val="List 2"/>
    <w:basedOn w:val="BodyText"/>
    <w:rsid w:val="00340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0FC2"/>
    <w:pPr>
      <w:numPr>
        <w:numId w:val="3"/>
      </w:numPr>
    </w:pPr>
  </w:style>
  <w:style w:type="paragraph" w:styleId="ListContinue2">
    <w:name w:val="List Continue 2"/>
    <w:basedOn w:val="List2"/>
    <w:rsid w:val="00340FC2"/>
    <w:pPr>
      <w:ind w:firstLine="0"/>
    </w:pPr>
  </w:style>
  <w:style w:type="paragraph" w:styleId="ListContinue3">
    <w:name w:val="List Continue 3"/>
    <w:basedOn w:val="List3"/>
    <w:rsid w:val="00340FC2"/>
    <w:pPr>
      <w:ind w:left="1021" w:firstLine="0"/>
    </w:pPr>
  </w:style>
  <w:style w:type="paragraph" w:styleId="ListContinue4">
    <w:name w:val="List Continue 4"/>
    <w:basedOn w:val="List4"/>
    <w:rsid w:val="00340FC2"/>
    <w:pPr>
      <w:ind w:firstLine="0"/>
    </w:pPr>
  </w:style>
  <w:style w:type="paragraph" w:styleId="ListContinue5">
    <w:name w:val="List Continue 5"/>
    <w:basedOn w:val="List5"/>
    <w:rsid w:val="00340FC2"/>
    <w:pPr>
      <w:ind w:firstLine="0"/>
    </w:pPr>
  </w:style>
  <w:style w:type="paragraph" w:styleId="ListNumber3">
    <w:name w:val="List Number 3"/>
    <w:basedOn w:val="List3"/>
    <w:rsid w:val="00340FC2"/>
    <w:pPr>
      <w:numPr>
        <w:numId w:val="4"/>
      </w:numPr>
    </w:pPr>
  </w:style>
  <w:style w:type="paragraph" w:styleId="ListNumber4">
    <w:name w:val="List Number 4"/>
    <w:basedOn w:val="List4"/>
    <w:rsid w:val="00340FC2"/>
    <w:pPr>
      <w:numPr>
        <w:numId w:val="5"/>
      </w:numPr>
    </w:pPr>
  </w:style>
  <w:style w:type="paragraph" w:styleId="ListNumber5">
    <w:name w:val="List Number 5"/>
    <w:basedOn w:val="List5"/>
    <w:rsid w:val="00340FC2"/>
    <w:pPr>
      <w:numPr>
        <w:numId w:val="6"/>
      </w:numPr>
    </w:pPr>
  </w:style>
  <w:style w:type="paragraph" w:styleId="BlockText">
    <w:name w:val="Block Text"/>
    <w:basedOn w:val="Normal"/>
    <w:rsid w:val="00340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FC2"/>
    <w:rPr>
      <w:sz w:val="16"/>
      <w:vertAlign w:val="superscript"/>
    </w:rPr>
  </w:style>
  <w:style w:type="character" w:customStyle="1" w:styleId="Symbols">
    <w:name w:val="Symbols"/>
    <w:basedOn w:val="DefaultParagraphFont"/>
    <w:rsid w:val="00340FC2"/>
    <w:rPr>
      <w:rFonts w:ascii="Symbol" w:hAnsi="Symbol"/>
    </w:rPr>
  </w:style>
  <w:style w:type="character" w:customStyle="1" w:styleId="MenuOptions">
    <w:name w:val="Menu Options"/>
    <w:basedOn w:val="DefaultParagraphFont"/>
    <w:rsid w:val="00340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FC2"/>
    <w:rPr>
      <w:b/>
    </w:rPr>
  </w:style>
  <w:style w:type="character" w:customStyle="1" w:styleId="Underlined">
    <w:name w:val="Underlined"/>
    <w:basedOn w:val="DefaultParagraphFont"/>
    <w:rsid w:val="00340FC2"/>
    <w:rPr>
      <w:u w:val="single"/>
    </w:rPr>
  </w:style>
  <w:style w:type="paragraph" w:customStyle="1" w:styleId="TableBodyTextRight">
    <w:name w:val="Table Body Text Right"/>
    <w:basedOn w:val="TableBodyText"/>
    <w:rsid w:val="00340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FC2"/>
    <w:rPr>
      <w:sz w:val="18"/>
    </w:rPr>
  </w:style>
  <w:style w:type="paragraph" w:customStyle="1" w:styleId="BodySmallRight">
    <w:name w:val="Body Small Right"/>
    <w:basedOn w:val="BodyTextRight"/>
    <w:rsid w:val="00340FC2"/>
    <w:rPr>
      <w:sz w:val="18"/>
      <w:szCs w:val="18"/>
    </w:rPr>
  </w:style>
  <w:style w:type="paragraph" w:customStyle="1" w:styleId="MarginEdition">
    <w:name w:val="Margin Edition"/>
    <w:basedOn w:val="MarginNote"/>
    <w:rsid w:val="00340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FC2"/>
    <w:rPr>
      <w:sz w:val="2"/>
      <w:szCs w:val="2"/>
    </w:rPr>
  </w:style>
  <w:style w:type="character" w:customStyle="1" w:styleId="Small">
    <w:name w:val="Small"/>
    <w:basedOn w:val="DefaultParagraphFont"/>
    <w:rsid w:val="00340FC2"/>
    <w:rPr>
      <w:sz w:val="16"/>
    </w:rPr>
  </w:style>
  <w:style w:type="paragraph" w:customStyle="1" w:styleId="WideTable">
    <w:name w:val="Wide Table"/>
    <w:basedOn w:val="Normal"/>
    <w:rsid w:val="00340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FC2"/>
  </w:style>
  <w:style w:type="paragraph" w:styleId="Quote">
    <w:name w:val="Quote"/>
    <w:basedOn w:val="Heading1"/>
    <w:link w:val="QuoteChar"/>
    <w:qFormat/>
    <w:rsid w:val="00340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FC2"/>
    <w:pPr>
      <w:pageBreakBefore/>
    </w:pPr>
  </w:style>
  <w:style w:type="paragraph" w:customStyle="1" w:styleId="Border">
    <w:name w:val="Border"/>
    <w:basedOn w:val="Normal"/>
    <w:qFormat/>
    <w:rsid w:val="00340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FC2"/>
    <w:rPr>
      <w:u w:val="single"/>
    </w:rPr>
  </w:style>
  <w:style w:type="character" w:customStyle="1" w:styleId="BoldandItalics">
    <w:name w:val="Bold and Italics"/>
    <w:qFormat/>
    <w:rsid w:val="00340FC2"/>
    <w:rPr>
      <w:b/>
      <w:i/>
      <w:u w:val="none"/>
    </w:rPr>
  </w:style>
  <w:style w:type="paragraph" w:styleId="BalloonText">
    <w:name w:val="Balloon Text"/>
    <w:basedOn w:val="Normal"/>
    <w:link w:val="BalloonTextChar"/>
    <w:rsid w:val="00340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FC2"/>
    <w:pPr>
      <w:spacing w:before="0" w:after="0"/>
    </w:pPr>
  </w:style>
  <w:style w:type="paragraph" w:customStyle="1" w:styleId="BodyTextBold">
    <w:name w:val="Body Text Bold"/>
    <w:basedOn w:val="BodyText"/>
    <w:qFormat/>
    <w:rsid w:val="00340FC2"/>
    <w:rPr>
      <w:b/>
    </w:rPr>
  </w:style>
  <w:style w:type="character" w:styleId="Hyperlink">
    <w:name w:val="Hyperlink"/>
    <w:basedOn w:val="DefaultParagraphFont"/>
    <w:uiPriority w:val="99"/>
    <w:unhideWhenUsed/>
    <w:rsid w:val="004D1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6625</Characters>
  <Application>Microsoft Office Word</Application>
  <DocSecurity>0</DocSecurity>
  <Lines>200</Lines>
  <Paragraphs>129</Paragraphs>
  <ScaleCrop>false</ScaleCrop>
  <Company>Author-it Software Corporation Ltd.</Company>
  <LinksUpToDate>false</LinksUpToDate>
  <CharactersWithSpaces>7516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TLIW3013 Grind switches and crossings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