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2AD7" w:rsidP="00762A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TLIW2039 Place and remove permanent way stop boards</w:t>
      </w:r>
      <w:r>
        <w:fldChar w:fldCharType="end"/>
      </w:r>
    </w:p>
    <w:p w:rsidR="00762AD7" w:rsidP="00762AD7">
      <w:pPr>
        <w:pStyle w:val="Version"/>
        <w:sectPr w:rsidSect="000257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57D1" w:rsidP="000257D1">
      <w:pPr>
        <w:pStyle w:val="SuperHeading"/>
      </w:pPr>
      <w:r w:rsidRPr="000257D1">
        <w:t>TLIW2039 Place and remove permanent way stop boards</w:t>
      </w:r>
    </w:p>
    <w:p w:rsidR="00000000" w:rsidRPr="000257D1" w:rsidP="000257D1">
      <w:pPr>
        <w:pStyle w:val="Heading1"/>
      </w:pPr>
      <w:bookmarkStart w:id="1" w:name="O_1195250"/>
      <w:bookmarkEnd w:id="1"/>
      <w:r w:rsidRPr="000257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5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7D1" w:rsidP="000257D1">
            <w:pPr>
              <w:pStyle w:val="BodyText"/>
            </w:pPr>
            <w:r w:rsidRPr="000257D1">
              <w:rPr>
                <w:rStyle w:val="SpecialBold"/>
              </w:rPr>
              <w:t>Release 2</w:t>
            </w:r>
            <w:r w:rsidRPr="000257D1">
              <w:t>. This is the second release of this unit of competency in the TLI Transport and Logistics Training Package:</w:t>
            </w:r>
          </w:p>
          <w:p w:rsidR="00000000" w:rsidRPr="000257D1" w:rsidP="000257D1">
            <w:pPr>
              <w:pStyle w:val="ListBullet"/>
            </w:pPr>
            <w:r w:rsidRPr="000257D1">
              <w:t>Minor statement changes in Knowledge Evidence</w:t>
            </w:r>
          </w:p>
          <w:p w:rsidR="00000000" w:rsidP="000257D1">
            <w:pPr>
              <w:pStyle w:val="ListBullet"/>
              <w:rPr>
                <w:lang w:val="en-NZ"/>
              </w:rPr>
            </w:pPr>
            <w:r w:rsidRPr="000257D1">
              <w:t>Minor statement changes in Assessment Conditions.</w:t>
            </w:r>
          </w:p>
        </w:tc>
      </w:tr>
      <w:tr w:rsidTr="00025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7D1" w:rsidP="000257D1">
            <w:pPr>
              <w:pStyle w:val="BodyText"/>
            </w:pPr>
            <w:r w:rsidRPr="000257D1">
              <w:rPr>
                <w:rStyle w:val="SpecialBold"/>
              </w:rPr>
              <w:t>Release 1</w:t>
            </w:r>
            <w:r w:rsidRPr="000257D1">
              <w:t>.</w:t>
            </w:r>
            <w:r w:rsidRPr="000257D1">
              <w:t xml:space="preserve"> This is the first release of this unit of competency in the TLI Transport and Logistics Training Package.</w:t>
            </w:r>
          </w:p>
        </w:tc>
      </w:tr>
    </w:tbl>
    <w:p w:rsidR="00762AD7" w:rsidP="000257D1">
      <w:pPr>
        <w:pStyle w:val="NoPaddingFontSize1"/>
      </w:pPr>
    </w:p>
    <w:p w:rsidR="00762AD7" w:rsidP="000257D1">
      <w:pPr>
        <w:pStyle w:val="NoPaddingFontSize1"/>
      </w:pPr>
    </w:p>
    <w:p w:rsidR="00000000" w:rsidRPr="000257D1" w:rsidP="000257D1">
      <w:pPr>
        <w:pStyle w:val="Heading1"/>
      </w:pPr>
      <w:bookmarkStart w:id="2" w:name="O_1195249"/>
      <w:bookmarkEnd w:id="2"/>
      <w:r w:rsidRPr="000257D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5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7D1" w:rsidP="000257D1">
            <w:pPr>
              <w:pStyle w:val="BodyText"/>
            </w:pPr>
            <w:r w:rsidRPr="000257D1">
              <w:t>This unit involves the skills and knowledge required to place and remove permanent way stop boards in accordance w</w:t>
            </w:r>
            <w:r w:rsidRPr="000257D1">
              <w:t>ith legislative and regulatory requirements.</w:t>
            </w:r>
          </w:p>
          <w:p w:rsidR="00000000" w:rsidRPr="000257D1" w:rsidP="000257D1">
            <w:pPr>
              <w:pStyle w:val="BodyText"/>
            </w:pPr>
            <w:r w:rsidRPr="000257D1">
              <w:t>This unit involves applying the rail network owner policies, procedures and protocols when placing and removing track protection signage used to protect one or more worksites in the rail corridor.</w:t>
            </w:r>
          </w:p>
          <w:p w:rsidR="00000000" w:rsidRPr="000257D1" w:rsidP="000257D1">
            <w:pPr>
              <w:pStyle w:val="BodyText"/>
            </w:pPr>
            <w:r w:rsidRPr="000257D1">
              <w:t>Track protection signage may include:</w:t>
            </w:r>
          </w:p>
          <w:p w:rsidR="00000000" w:rsidRPr="000257D1" w:rsidP="000257D1">
            <w:pPr>
              <w:pStyle w:val="ListBullet2"/>
            </w:pPr>
            <w:r w:rsidRPr="000257D1">
              <w:t>in-field protection</w:t>
            </w:r>
          </w:p>
          <w:p w:rsidR="00000000" w:rsidRPr="000257D1" w:rsidP="000257D1">
            <w:pPr>
              <w:pStyle w:val="ListBullet2"/>
            </w:pPr>
            <w:r w:rsidRPr="000257D1">
              <w:t>permanent way stop boards</w:t>
            </w:r>
          </w:p>
          <w:p w:rsidR="00000000" w:rsidRPr="000257D1" w:rsidP="000257D1">
            <w:pPr>
              <w:pStyle w:val="ListBullet2"/>
            </w:pPr>
            <w:r w:rsidRPr="000257D1">
              <w:t>track protection stop signs.</w:t>
            </w:r>
          </w:p>
          <w:p w:rsidR="00000000" w:rsidRPr="000257D1" w:rsidP="000257D1">
            <w:pPr>
              <w:pStyle w:val="BodyText"/>
            </w:pPr>
            <w:r w:rsidRPr="000257D1">
              <w:t xml:space="preserve">People achieving competence in this unit will need to fulfil the applicable state/territory legislated rail safety requirements and to comply </w:t>
            </w:r>
            <w:r w:rsidRPr="000257D1">
              <w:t>with relevant codes of practice and/or guidelines.</w:t>
            </w:r>
          </w:p>
          <w:p w:rsidR="00000000" w:rsidRPr="000257D1" w:rsidP="000257D1">
            <w:pPr>
              <w:pStyle w:val="BodyText"/>
            </w:pPr>
            <w:r w:rsidRPr="000257D1">
              <w:t>Activities are performed using established system of safeworking procedures, with duty of care accountability and responsibility for self and others in achieving the prescribed outcomes within the limits o</w:t>
            </w:r>
            <w:r w:rsidRPr="000257D1">
              <w:t>f own responsibility.</w:t>
            </w:r>
          </w:p>
          <w:p w:rsidR="00000000" w:rsidRPr="000257D1" w:rsidP="000257D1">
            <w:pPr>
              <w:pStyle w:val="BodyText"/>
            </w:pPr>
            <w:r w:rsidRPr="000257D1">
              <w:t>No licensing, legislative or certification requirements apply to this unit at the time of publication.</w:t>
            </w:r>
          </w:p>
        </w:tc>
      </w:tr>
    </w:tbl>
    <w:p w:rsidR="00762AD7" w:rsidP="000257D1">
      <w:pPr>
        <w:pStyle w:val="NoPaddingFontSize1"/>
      </w:pPr>
    </w:p>
    <w:p w:rsidR="00762AD7" w:rsidP="000257D1">
      <w:pPr>
        <w:pStyle w:val="NoPaddingFontSize1"/>
      </w:pPr>
    </w:p>
    <w:p w:rsidR="00000000" w:rsidRPr="000257D1" w:rsidP="000257D1">
      <w:pPr>
        <w:pStyle w:val="Heading1"/>
      </w:pPr>
      <w:bookmarkStart w:id="3" w:name="O_1195248"/>
      <w:bookmarkEnd w:id="3"/>
      <w:r w:rsidRPr="000257D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5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7D1" w:rsidP="000257D1">
            <w:pPr>
              <w:pStyle w:val="BodyText"/>
            </w:pPr>
            <w:r w:rsidRPr="000257D1">
              <w:t>Not applicable.</w:t>
            </w:r>
          </w:p>
        </w:tc>
      </w:tr>
    </w:tbl>
    <w:p w:rsidR="00762AD7" w:rsidP="000257D1">
      <w:pPr>
        <w:pStyle w:val="NoPaddingFontSize1"/>
      </w:pPr>
    </w:p>
    <w:p w:rsidR="00762AD7" w:rsidP="000257D1">
      <w:pPr>
        <w:pStyle w:val="NoPaddingFontSize1"/>
      </w:pPr>
    </w:p>
    <w:p w:rsidR="00000000" w:rsidRPr="000257D1" w:rsidP="000257D1">
      <w:pPr>
        <w:pStyle w:val="Heading1"/>
      </w:pPr>
      <w:bookmarkStart w:id="4" w:name="O_1195247"/>
      <w:bookmarkEnd w:id="4"/>
      <w:r w:rsidRPr="000257D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5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7D1" w:rsidP="000257D1">
            <w:pPr>
              <w:pStyle w:val="BodyText"/>
            </w:pPr>
            <w:r w:rsidRPr="000257D1">
              <w:t>W –</w:t>
            </w:r>
            <w:r w:rsidRPr="000257D1">
              <w:t xml:space="preserve"> Equipment and Systems Operations</w:t>
            </w:r>
          </w:p>
        </w:tc>
      </w:tr>
    </w:tbl>
    <w:p w:rsidR="00762AD7" w:rsidP="000257D1">
      <w:pPr>
        <w:pStyle w:val="NoPaddingFontSize1"/>
      </w:pPr>
    </w:p>
    <w:p w:rsidR="00762AD7" w:rsidP="000257D1">
      <w:pPr>
        <w:pStyle w:val="NoPaddingFontSize1"/>
      </w:pPr>
    </w:p>
    <w:p w:rsidR="00000000" w:rsidRPr="000257D1" w:rsidP="000257D1">
      <w:pPr>
        <w:pStyle w:val="Heading1"/>
      </w:pPr>
      <w:bookmarkStart w:id="5" w:name="O_1195246"/>
      <w:bookmarkEnd w:id="5"/>
      <w:r w:rsidRPr="000257D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5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7D1" w:rsidP="000257D1">
            <w:pPr>
              <w:pStyle w:val="BodyText"/>
            </w:pPr>
            <w:r w:rsidRPr="000257D1">
              <w:t>Rail sector.</w:t>
            </w:r>
          </w:p>
        </w:tc>
      </w:tr>
    </w:tbl>
    <w:p w:rsidR="00762AD7" w:rsidP="000257D1">
      <w:pPr>
        <w:pStyle w:val="NoPaddingFontSize1"/>
      </w:pPr>
    </w:p>
    <w:p w:rsidR="00762AD7" w:rsidP="000257D1">
      <w:pPr>
        <w:pStyle w:val="NoPaddingFontSize1"/>
      </w:pPr>
    </w:p>
    <w:p w:rsidR="00000000" w:rsidRPr="000257D1" w:rsidP="000257D1">
      <w:pPr>
        <w:pStyle w:val="Heading1"/>
      </w:pPr>
      <w:bookmarkStart w:id="6" w:name="O_1195245"/>
      <w:bookmarkEnd w:id="6"/>
      <w:r w:rsidRPr="000257D1">
        <w:t>Elements and Performance Criteria</w:t>
      </w:r>
    </w:p>
    <w:tbl>
      <w:tblPr>
        <w:tblW w:w="958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"/>
        <w:gridCol w:w="2299"/>
        <w:gridCol w:w="25"/>
        <w:gridCol w:w="431"/>
        <w:gridCol w:w="6469"/>
        <w:gridCol w:w="90"/>
      </w:tblGrid>
      <w:tr w:rsidTr="000257D1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0" w:type="dxa"/>
        </w:trPr>
        <w:tc>
          <w:tcPr>
            <w:tcW w:w="2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7D1">
            <w:pPr>
              <w:pStyle w:val="BodyText"/>
              <w:rPr>
                <w:lang w:val="en-NZ"/>
              </w:rPr>
            </w:pPr>
            <w:r w:rsidRPr="000257D1">
              <w:t>Elements describe the essential outcomes.</w:t>
            </w:r>
          </w:p>
        </w:tc>
        <w:tc>
          <w:tcPr>
            <w:tcW w:w="69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7D1">
            <w:pPr>
              <w:pStyle w:val="BodyText"/>
              <w:rPr>
                <w:lang w:val="en-NZ"/>
              </w:rPr>
            </w:pPr>
            <w:r w:rsidRPr="000257D1">
              <w:t>Performance criteria describe the performance needed to demonstrate achievem</w:t>
            </w:r>
            <w:r w:rsidRPr="000257D1">
              <w:t>ent of the element.</w:t>
            </w:r>
          </w:p>
        </w:tc>
      </w:tr>
      <w:tr w:rsidTr="000257D1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7D1" w:rsidP="000257D1">
            <w:pPr>
              <w:pStyle w:val="BodyText"/>
            </w:pPr>
            <w:r w:rsidRPr="000257D1">
              <w:rPr>
                <w:rStyle w:val="SpecialBold"/>
              </w:rPr>
              <w:t>1</w:t>
            </w:r>
          </w:p>
        </w:tc>
        <w:tc>
          <w:tcPr>
            <w:tcW w:w="232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7D1" w:rsidP="000257D1">
            <w:pPr>
              <w:pStyle w:val="BodyText"/>
            </w:pPr>
            <w:r w:rsidRPr="000257D1">
              <w:rPr>
                <w:rStyle w:val="SpecialBold"/>
              </w:rPr>
              <w:t>Place track protection signage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7D1">
            <w:pPr>
              <w:pStyle w:val="BodyText"/>
              <w:rPr>
                <w:lang w:val="en-NZ"/>
              </w:rPr>
            </w:pPr>
            <w:r w:rsidRPr="000257D1">
              <w:rPr>
                <w:rStyle w:val="SpecialBold"/>
              </w:rPr>
              <w:t>1.1</w:t>
            </w: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7D1">
            <w:pPr>
              <w:pStyle w:val="BodyText"/>
              <w:rPr>
                <w:lang w:val="en-NZ"/>
              </w:rPr>
            </w:pPr>
            <w:r w:rsidRPr="000257D1">
              <w:t xml:space="preserve">Location advice for track protection signage is confirmed </w:t>
            </w:r>
          </w:p>
        </w:tc>
      </w:tr>
      <w:tr w:rsidTr="000257D1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7D1">
            <w:pPr>
              <w:pStyle w:val="BodyText"/>
              <w:keepLines w:val="0"/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7D1">
            <w:pPr>
              <w:pStyle w:val="BodyText"/>
              <w:rPr>
                <w:lang w:val="en-NZ"/>
              </w:rPr>
            </w:pPr>
            <w:r w:rsidRPr="000257D1">
              <w:rPr>
                <w:rStyle w:val="SpecialBold"/>
              </w:rPr>
              <w:t>1.2</w:t>
            </w: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7D1">
            <w:pPr>
              <w:pStyle w:val="BodyText"/>
              <w:rPr>
                <w:lang w:val="en-NZ"/>
              </w:rPr>
            </w:pPr>
            <w:r w:rsidRPr="000257D1">
              <w:t>Hazards are identified, risks are assessed and control measures implemented</w:t>
            </w:r>
          </w:p>
        </w:tc>
      </w:tr>
      <w:tr w:rsidTr="000257D1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7D1">
            <w:pPr>
              <w:pStyle w:val="BodyText"/>
              <w:keepLines w:val="0"/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7D1">
            <w:pPr>
              <w:pStyle w:val="BodyText"/>
              <w:rPr>
                <w:lang w:val="en-NZ"/>
              </w:rPr>
            </w:pPr>
            <w:r w:rsidRPr="000257D1">
              <w:rPr>
                <w:rStyle w:val="SpecialBold"/>
              </w:rPr>
              <w:t>1.3</w:t>
            </w: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7D1">
            <w:pPr>
              <w:pStyle w:val="BodyText"/>
              <w:rPr>
                <w:lang w:val="en-NZ"/>
              </w:rPr>
            </w:pPr>
            <w:r w:rsidRPr="000257D1">
              <w:t>Relevant network control officer is contacted and informed, as required, in accordance with rail network owner policies and procedures</w:t>
            </w:r>
          </w:p>
        </w:tc>
      </w:tr>
      <w:tr w:rsidTr="000257D1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7D1">
            <w:pPr>
              <w:pStyle w:val="BodyText"/>
              <w:keepLines w:val="0"/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7D1">
            <w:pPr>
              <w:pStyle w:val="BodyText"/>
              <w:rPr>
                <w:lang w:val="en-NZ"/>
              </w:rPr>
            </w:pPr>
            <w:r w:rsidRPr="000257D1">
              <w:rPr>
                <w:rStyle w:val="SpecialBold"/>
              </w:rPr>
              <w:t>1.4</w:t>
            </w: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7D1">
            <w:pPr>
              <w:pStyle w:val="BodyText"/>
              <w:rPr>
                <w:lang w:val="en-NZ"/>
              </w:rPr>
            </w:pPr>
            <w:r w:rsidRPr="000257D1">
              <w:t>Equipment is checked for availability and suitability to perform job in accordance with rail network owner policie</w:t>
            </w:r>
            <w:r w:rsidRPr="000257D1">
              <w:t>s and procedures</w:t>
            </w:r>
          </w:p>
        </w:tc>
      </w:tr>
      <w:tr w:rsidTr="000257D1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7D1">
            <w:pPr>
              <w:pStyle w:val="BodyText"/>
              <w:keepLines w:val="0"/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7D1">
            <w:pPr>
              <w:pStyle w:val="BodyText"/>
              <w:rPr>
                <w:lang w:val="en-NZ"/>
              </w:rPr>
            </w:pPr>
            <w:r w:rsidRPr="000257D1">
              <w:rPr>
                <w:rStyle w:val="SpecialBold"/>
              </w:rPr>
              <w:t>1.5</w:t>
            </w: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7D1">
            <w:pPr>
              <w:pStyle w:val="BodyText"/>
              <w:rPr>
                <w:lang w:val="en-NZ"/>
              </w:rPr>
            </w:pPr>
            <w:r w:rsidRPr="000257D1">
              <w:t>Equipment is placed in accordance with rail network industry standards</w:t>
            </w:r>
          </w:p>
        </w:tc>
      </w:tr>
      <w:tr w:rsidTr="000257D1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7D1">
            <w:pPr>
              <w:pStyle w:val="BodyText"/>
              <w:keepLines w:val="0"/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7D1">
            <w:pPr>
              <w:pStyle w:val="BodyText"/>
              <w:rPr>
                <w:lang w:val="en-NZ"/>
              </w:rPr>
            </w:pPr>
            <w:r w:rsidRPr="000257D1">
              <w:rPr>
                <w:rStyle w:val="SpecialBold"/>
              </w:rPr>
              <w:t>1.6</w:t>
            </w: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7D1">
            <w:pPr>
              <w:pStyle w:val="BodyText"/>
              <w:rPr>
                <w:lang w:val="en-NZ"/>
              </w:rPr>
            </w:pPr>
            <w:r w:rsidRPr="000257D1">
              <w:t>Relevant personnel are notified that track protection signage has been placed</w:t>
            </w:r>
          </w:p>
        </w:tc>
      </w:tr>
      <w:tr w:rsidTr="000257D1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7D1" w:rsidP="000257D1">
            <w:pPr>
              <w:pStyle w:val="BodyText"/>
            </w:pPr>
            <w:r w:rsidRPr="000257D1">
              <w:rPr>
                <w:rStyle w:val="SpecialBold"/>
              </w:rPr>
              <w:t>2</w:t>
            </w:r>
          </w:p>
        </w:tc>
        <w:tc>
          <w:tcPr>
            <w:tcW w:w="232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7D1" w:rsidP="000257D1">
            <w:pPr>
              <w:pStyle w:val="BodyText"/>
            </w:pPr>
            <w:r w:rsidRPr="000257D1">
              <w:rPr>
                <w:rStyle w:val="SpecialBold"/>
              </w:rPr>
              <w:t>Remove track protection signage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7D1">
            <w:pPr>
              <w:pStyle w:val="BodyText"/>
              <w:rPr>
                <w:lang w:val="en-NZ"/>
              </w:rPr>
            </w:pPr>
            <w:r w:rsidRPr="000257D1">
              <w:rPr>
                <w:rStyle w:val="SpecialBold"/>
              </w:rPr>
              <w:t>2.1</w:t>
            </w: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7D1">
            <w:pPr>
              <w:pStyle w:val="BodyText"/>
              <w:rPr>
                <w:lang w:val="en-NZ"/>
              </w:rPr>
            </w:pPr>
            <w:r w:rsidRPr="000257D1">
              <w:t xml:space="preserve">Location advice for removal of track protection signage is confirmed </w:t>
            </w:r>
          </w:p>
        </w:tc>
      </w:tr>
      <w:tr w:rsidTr="000257D1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7D1">
            <w:pPr>
              <w:pStyle w:val="BodyText"/>
              <w:keepLines w:val="0"/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7D1">
            <w:pPr>
              <w:pStyle w:val="BodyText"/>
              <w:rPr>
                <w:lang w:val="en-NZ"/>
              </w:rPr>
            </w:pPr>
            <w:r w:rsidRPr="000257D1">
              <w:rPr>
                <w:rStyle w:val="SpecialBold"/>
              </w:rPr>
              <w:t>2.2</w:t>
            </w: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7D1">
            <w:pPr>
              <w:pStyle w:val="BodyText"/>
              <w:rPr>
                <w:lang w:val="en-NZ"/>
              </w:rPr>
            </w:pPr>
            <w:r w:rsidRPr="000257D1">
              <w:t>Hazards are identified, risks assessed and control measures implemented</w:t>
            </w:r>
          </w:p>
        </w:tc>
      </w:tr>
      <w:tr w:rsidTr="000257D1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7D1">
            <w:pPr>
              <w:pStyle w:val="BodyText"/>
              <w:keepLines w:val="0"/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7D1">
            <w:pPr>
              <w:pStyle w:val="BodyText"/>
              <w:rPr>
                <w:lang w:val="en-NZ"/>
              </w:rPr>
            </w:pPr>
            <w:r w:rsidRPr="000257D1">
              <w:rPr>
                <w:rStyle w:val="SpecialBold"/>
              </w:rPr>
              <w:t>2.3</w:t>
            </w: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7D1">
            <w:pPr>
              <w:pStyle w:val="BodyText"/>
              <w:rPr>
                <w:lang w:val="en-NZ"/>
              </w:rPr>
            </w:pPr>
            <w:r w:rsidRPr="000257D1">
              <w:t>Relevant network control officer is contacted and informed in accordance with rail network owner pol</w:t>
            </w:r>
            <w:r w:rsidRPr="000257D1">
              <w:t>icies and procedures</w:t>
            </w:r>
          </w:p>
        </w:tc>
      </w:tr>
      <w:tr w:rsidTr="000257D1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7D1">
            <w:pPr>
              <w:pStyle w:val="BodyText"/>
              <w:keepLines w:val="0"/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7D1">
            <w:pPr>
              <w:pStyle w:val="BodyText"/>
              <w:rPr>
                <w:lang w:val="en-NZ"/>
              </w:rPr>
            </w:pPr>
            <w:r w:rsidRPr="000257D1">
              <w:rPr>
                <w:rStyle w:val="SpecialBold"/>
              </w:rPr>
              <w:t>2.4</w:t>
            </w: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7D1">
            <w:pPr>
              <w:pStyle w:val="BodyText"/>
              <w:rPr>
                <w:lang w:val="en-NZ"/>
              </w:rPr>
            </w:pPr>
            <w:r w:rsidRPr="000257D1">
              <w:t>Equipment is removed from track, and secured and stowed appropriately</w:t>
            </w:r>
          </w:p>
        </w:tc>
      </w:tr>
      <w:tr w:rsidTr="000257D1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7D1">
            <w:pPr>
              <w:pStyle w:val="BodyText"/>
              <w:keepLines w:val="0"/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7D1">
            <w:pPr>
              <w:pStyle w:val="BodyText"/>
              <w:rPr>
                <w:lang w:val="en-NZ"/>
              </w:rPr>
            </w:pPr>
            <w:r w:rsidRPr="000257D1">
              <w:rPr>
                <w:rStyle w:val="SpecialBold"/>
              </w:rPr>
              <w:t>2.5</w:t>
            </w: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7D1" w:rsidP="000257D1">
            <w:pPr>
              <w:pStyle w:val="BodyText"/>
            </w:pPr>
            <w:r w:rsidRPr="000257D1">
              <w:t>Relevant personnel are notified that track protection signage has been removed</w:t>
            </w:r>
          </w:p>
        </w:tc>
      </w:tr>
    </w:tbl>
    <w:p w:rsidR="00762AD7" w:rsidP="000257D1">
      <w:pPr>
        <w:pStyle w:val="NoPaddingFontSize1"/>
      </w:pPr>
    </w:p>
    <w:p w:rsidR="00762AD7" w:rsidP="000257D1">
      <w:pPr>
        <w:pStyle w:val="NoPaddingFontSize1"/>
      </w:pPr>
    </w:p>
    <w:p w:rsidR="00000000" w:rsidRPr="000257D1" w:rsidP="000257D1">
      <w:pPr>
        <w:pStyle w:val="Heading1"/>
      </w:pPr>
      <w:bookmarkStart w:id="7" w:name="O_1195244"/>
      <w:bookmarkEnd w:id="7"/>
      <w:r w:rsidRPr="000257D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5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7D1" w:rsidP="000257D1">
            <w:pPr>
              <w:pStyle w:val="BodyText"/>
            </w:pPr>
            <w:r w:rsidRPr="000257D1">
              <w:t>Foundation skills essential to performance are explicit in the performance criteria of this unit of competency.</w:t>
            </w:r>
          </w:p>
        </w:tc>
      </w:tr>
    </w:tbl>
    <w:p w:rsidR="00762AD7" w:rsidP="000257D1">
      <w:pPr>
        <w:pStyle w:val="NoPaddingFontSize1"/>
      </w:pPr>
    </w:p>
    <w:p w:rsidR="00762AD7" w:rsidP="000257D1">
      <w:pPr>
        <w:pStyle w:val="NoPaddingFontSize1"/>
      </w:pPr>
    </w:p>
    <w:p w:rsidR="00000000" w:rsidRPr="000257D1" w:rsidP="000257D1">
      <w:pPr>
        <w:pStyle w:val="Heading1"/>
      </w:pPr>
      <w:bookmarkStart w:id="8" w:name="O_1195243"/>
      <w:bookmarkEnd w:id="8"/>
      <w:r w:rsidRPr="000257D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5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7D1" w:rsidP="000257D1">
            <w:pPr>
              <w:pStyle w:val="BodyText"/>
            </w:pPr>
            <w:r w:rsidRPr="000257D1">
              <w:t>Range is restricted to</w:t>
            </w:r>
            <w:r w:rsidRPr="000257D1">
              <w:t xml:space="preserve"> essential operating conditions and any other variables essential to the work environment.</w:t>
            </w:r>
          </w:p>
        </w:tc>
      </w:tr>
    </w:tbl>
    <w:p w:rsidR="00762AD7" w:rsidP="000257D1">
      <w:pPr>
        <w:pStyle w:val="NoPaddingFontSize1"/>
      </w:pPr>
    </w:p>
    <w:p w:rsidR="00762AD7" w:rsidP="000257D1">
      <w:pPr>
        <w:pStyle w:val="NoPaddingFontSize1"/>
      </w:pPr>
    </w:p>
    <w:p w:rsidR="00000000" w:rsidRPr="000257D1" w:rsidP="000257D1">
      <w:pPr>
        <w:pStyle w:val="Heading1"/>
      </w:pPr>
      <w:bookmarkStart w:id="9" w:name="O_1195242"/>
      <w:bookmarkEnd w:id="9"/>
      <w:r w:rsidRPr="000257D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5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7D1" w:rsidP="000257D1">
            <w:pPr>
              <w:pStyle w:val="BodyText"/>
            </w:pPr>
            <w:r w:rsidRPr="000257D1">
              <w:t>This unit replaces and is equivalent to TLIW2039A Place and remove permanent way stop boards.</w:t>
            </w:r>
          </w:p>
        </w:tc>
      </w:tr>
    </w:tbl>
    <w:p w:rsidR="00762AD7" w:rsidP="000257D1">
      <w:pPr>
        <w:pStyle w:val="NoPaddingFontSize1"/>
      </w:pPr>
    </w:p>
    <w:p w:rsidR="00762AD7" w:rsidP="000257D1">
      <w:pPr>
        <w:pStyle w:val="NoPaddingFontSize1"/>
      </w:pPr>
    </w:p>
    <w:p w:rsidR="00000000" w:rsidRPr="000257D1" w:rsidP="000257D1">
      <w:pPr>
        <w:pStyle w:val="Heading1"/>
      </w:pPr>
      <w:bookmarkStart w:id="10" w:name="O_1195251"/>
      <w:bookmarkEnd w:id="10"/>
      <w:r w:rsidRPr="000257D1">
        <w:t>L</w:t>
      </w:r>
      <w:r w:rsidRPr="000257D1">
        <w:t>inks</w:t>
      </w:r>
    </w:p>
    <w:p w:rsidR="00000000" w:rsidRPr="000257D1" w:rsidP="00762AD7">
      <w:pPr>
        <w:pStyle w:val="BodyText"/>
      </w:pPr>
      <w:r w:rsidRPr="000257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02C4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257D1" w:rsidP="000257D1"/>
    <w:sectPr w:rsidSect="000257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7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7D1" w:rsidRPr="00762AD7" w:rsidP="00762A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7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AD7" w:rsidP="000257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2AD7" w:rsidP="000257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62AD7" w:rsidP="000257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7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A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57D1" w:rsidRPr="00762AD7" w:rsidP="00762A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7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AD7" w:rsidRPr="002D2AF8" w:rsidP="000257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TLIW2039 Place and remove permanent way stop boards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62AD7" w:rsidP="000257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CC88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4250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ECBA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7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57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7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7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7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7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7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7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7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7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7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7D1"/>
  </w:style>
  <w:style w:type="character" w:customStyle="1" w:styleId="Heading1Char">
    <w:name w:val="Heading 1 Char"/>
    <w:basedOn w:val="DefaultParagraphFont"/>
    <w:link w:val="Heading1"/>
    <w:rsid w:val="000257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7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7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57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57D1"/>
    <w:rPr>
      <w:b/>
      <w:spacing w:val="0"/>
    </w:rPr>
  </w:style>
  <w:style w:type="paragraph" w:styleId="ListBullet2">
    <w:name w:val="List Bullet 2"/>
    <w:basedOn w:val="List2"/>
    <w:rsid w:val="000257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57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57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57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7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7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7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57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57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57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7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7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7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7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57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7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57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7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7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57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57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57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7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7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57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7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57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7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57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7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7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7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7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57D1"/>
    <w:rPr>
      <w:i/>
    </w:rPr>
  </w:style>
  <w:style w:type="paragraph" w:styleId="Caption">
    <w:name w:val="caption"/>
    <w:basedOn w:val="BodyText"/>
    <w:next w:val="Normal"/>
    <w:qFormat/>
    <w:rsid w:val="000257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7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7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7D1"/>
  </w:style>
  <w:style w:type="paragraph" w:styleId="TableofFigures">
    <w:name w:val="table of figures"/>
    <w:basedOn w:val="Normal"/>
    <w:next w:val="Normal"/>
    <w:semiHidden/>
    <w:rsid w:val="000257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7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57D1"/>
    <w:rPr>
      <w:rFonts w:ascii="Wingdings" w:hAnsi="Wingdings"/>
    </w:rPr>
  </w:style>
  <w:style w:type="paragraph" w:customStyle="1" w:styleId="TableHeading">
    <w:name w:val="Table Heading"/>
    <w:basedOn w:val="HeadingBase"/>
    <w:rsid w:val="000257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7D1"/>
    <w:rPr>
      <w:color w:val="0033CC"/>
      <w:u w:val="none"/>
    </w:rPr>
  </w:style>
  <w:style w:type="paragraph" w:customStyle="1" w:styleId="BodyTextRight">
    <w:name w:val="Body Text Right"/>
    <w:basedOn w:val="BodyText"/>
    <w:rsid w:val="000257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7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7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7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7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7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57D1"/>
    <w:rPr>
      <w:sz w:val="32"/>
    </w:rPr>
  </w:style>
  <w:style w:type="paragraph" w:customStyle="1" w:styleId="HeadingProcedure">
    <w:name w:val="Heading Procedure"/>
    <w:basedOn w:val="HeadingBase"/>
    <w:next w:val="Normal"/>
    <w:rsid w:val="000257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7D1"/>
    <w:pPr>
      <w:spacing w:before="60" w:after="60"/>
    </w:pPr>
  </w:style>
  <w:style w:type="paragraph" w:styleId="ListContinue">
    <w:name w:val="List Continue"/>
    <w:basedOn w:val="List"/>
    <w:rsid w:val="000257D1"/>
    <w:pPr>
      <w:ind w:firstLine="0"/>
    </w:pPr>
  </w:style>
  <w:style w:type="paragraph" w:customStyle="1" w:styleId="ListNote">
    <w:name w:val="List Note"/>
    <w:basedOn w:val="List"/>
    <w:rsid w:val="000257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7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7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7D1"/>
    <w:rPr>
      <w:rFonts w:ascii="Courier New" w:hAnsi="Courier New"/>
    </w:rPr>
  </w:style>
  <w:style w:type="paragraph" w:customStyle="1" w:styleId="NoteBullet">
    <w:name w:val="Note Bullet"/>
    <w:basedOn w:val="Note"/>
    <w:rsid w:val="000257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7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7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7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7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57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7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57D1"/>
    <w:rPr>
      <w:b/>
      <w:smallCaps/>
    </w:rPr>
  </w:style>
  <w:style w:type="paragraph" w:customStyle="1" w:styleId="TableListNumber">
    <w:name w:val="Table List Number"/>
    <w:basedOn w:val="ListNumber"/>
    <w:rsid w:val="000257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7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7D1"/>
    <w:pPr>
      <w:numPr>
        <w:numId w:val="9"/>
      </w:numPr>
    </w:pPr>
  </w:style>
  <w:style w:type="paragraph" w:customStyle="1" w:styleId="ListAlpha2">
    <w:name w:val="List Alpha 2"/>
    <w:basedOn w:val="List2"/>
    <w:rsid w:val="000257D1"/>
    <w:pPr>
      <w:numPr>
        <w:numId w:val="8"/>
      </w:numPr>
    </w:pPr>
  </w:style>
  <w:style w:type="paragraph" w:styleId="List2">
    <w:name w:val="List 2"/>
    <w:basedOn w:val="BodyText"/>
    <w:rsid w:val="000257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7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7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7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57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57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57D1"/>
    <w:pPr>
      <w:numPr>
        <w:numId w:val="4"/>
      </w:numPr>
    </w:pPr>
  </w:style>
  <w:style w:type="paragraph" w:styleId="ListContinue2">
    <w:name w:val="List Continue 2"/>
    <w:basedOn w:val="List2"/>
    <w:rsid w:val="000257D1"/>
    <w:pPr>
      <w:ind w:firstLine="0"/>
    </w:pPr>
  </w:style>
  <w:style w:type="paragraph" w:styleId="ListContinue3">
    <w:name w:val="List Continue 3"/>
    <w:basedOn w:val="List3"/>
    <w:rsid w:val="000257D1"/>
    <w:pPr>
      <w:ind w:left="1021" w:firstLine="0"/>
    </w:pPr>
  </w:style>
  <w:style w:type="paragraph" w:styleId="ListContinue4">
    <w:name w:val="List Continue 4"/>
    <w:basedOn w:val="List4"/>
    <w:rsid w:val="000257D1"/>
    <w:pPr>
      <w:ind w:firstLine="0"/>
    </w:pPr>
  </w:style>
  <w:style w:type="paragraph" w:styleId="ListContinue5">
    <w:name w:val="List Continue 5"/>
    <w:basedOn w:val="List5"/>
    <w:rsid w:val="000257D1"/>
    <w:pPr>
      <w:ind w:firstLine="0"/>
    </w:pPr>
  </w:style>
  <w:style w:type="paragraph" w:styleId="ListNumber3">
    <w:name w:val="List Number 3"/>
    <w:basedOn w:val="List3"/>
    <w:rsid w:val="000257D1"/>
    <w:pPr>
      <w:numPr>
        <w:numId w:val="5"/>
      </w:numPr>
    </w:pPr>
  </w:style>
  <w:style w:type="paragraph" w:styleId="ListNumber4">
    <w:name w:val="List Number 4"/>
    <w:basedOn w:val="List4"/>
    <w:rsid w:val="000257D1"/>
    <w:pPr>
      <w:numPr>
        <w:numId w:val="6"/>
      </w:numPr>
    </w:pPr>
  </w:style>
  <w:style w:type="paragraph" w:styleId="ListNumber5">
    <w:name w:val="List Number 5"/>
    <w:basedOn w:val="List5"/>
    <w:rsid w:val="000257D1"/>
    <w:pPr>
      <w:numPr>
        <w:numId w:val="7"/>
      </w:numPr>
    </w:pPr>
  </w:style>
  <w:style w:type="paragraph" w:styleId="BlockText">
    <w:name w:val="Block Text"/>
    <w:basedOn w:val="Normal"/>
    <w:rsid w:val="000257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7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7D1"/>
    <w:rPr>
      <w:sz w:val="16"/>
      <w:vertAlign w:val="superscript"/>
    </w:rPr>
  </w:style>
  <w:style w:type="character" w:customStyle="1" w:styleId="Symbols">
    <w:name w:val="Symbols"/>
    <w:basedOn w:val="DefaultParagraphFont"/>
    <w:rsid w:val="000257D1"/>
    <w:rPr>
      <w:rFonts w:ascii="Symbol" w:hAnsi="Symbol"/>
    </w:rPr>
  </w:style>
  <w:style w:type="character" w:customStyle="1" w:styleId="MenuOptions">
    <w:name w:val="Menu Options"/>
    <w:basedOn w:val="DefaultParagraphFont"/>
    <w:rsid w:val="000257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7D1"/>
    <w:rPr>
      <w:b/>
    </w:rPr>
  </w:style>
  <w:style w:type="character" w:customStyle="1" w:styleId="Underlined">
    <w:name w:val="Underlined"/>
    <w:basedOn w:val="DefaultParagraphFont"/>
    <w:rsid w:val="000257D1"/>
    <w:rPr>
      <w:u w:val="single"/>
    </w:rPr>
  </w:style>
  <w:style w:type="paragraph" w:customStyle="1" w:styleId="TableBodyTextRight">
    <w:name w:val="Table Body Text Right"/>
    <w:basedOn w:val="TableBodyText"/>
    <w:rsid w:val="000257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7D1"/>
    <w:rPr>
      <w:sz w:val="18"/>
    </w:rPr>
  </w:style>
  <w:style w:type="paragraph" w:customStyle="1" w:styleId="BodySmallRight">
    <w:name w:val="Body Small Right"/>
    <w:basedOn w:val="BodyTextRight"/>
    <w:rsid w:val="000257D1"/>
    <w:rPr>
      <w:sz w:val="18"/>
      <w:szCs w:val="18"/>
    </w:rPr>
  </w:style>
  <w:style w:type="paragraph" w:customStyle="1" w:styleId="MarginEdition">
    <w:name w:val="Margin Edition"/>
    <w:basedOn w:val="MarginNote"/>
    <w:rsid w:val="000257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7D1"/>
    <w:rPr>
      <w:sz w:val="2"/>
      <w:szCs w:val="2"/>
    </w:rPr>
  </w:style>
  <w:style w:type="character" w:customStyle="1" w:styleId="Small">
    <w:name w:val="Small"/>
    <w:basedOn w:val="DefaultParagraphFont"/>
    <w:rsid w:val="000257D1"/>
    <w:rPr>
      <w:sz w:val="16"/>
    </w:rPr>
  </w:style>
  <w:style w:type="paragraph" w:customStyle="1" w:styleId="WideTable">
    <w:name w:val="Wide Table"/>
    <w:basedOn w:val="Normal"/>
    <w:rsid w:val="000257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7D1"/>
  </w:style>
  <w:style w:type="paragraph" w:styleId="Quote">
    <w:name w:val="Quote"/>
    <w:basedOn w:val="Heading1"/>
    <w:link w:val="QuoteChar"/>
    <w:qFormat/>
    <w:rsid w:val="000257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7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7D1"/>
    <w:pPr>
      <w:pageBreakBefore/>
    </w:pPr>
  </w:style>
  <w:style w:type="paragraph" w:customStyle="1" w:styleId="Border">
    <w:name w:val="Border"/>
    <w:basedOn w:val="Normal"/>
    <w:qFormat/>
    <w:rsid w:val="000257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7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7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7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57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7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7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7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7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7D1"/>
    <w:rPr>
      <w:u w:val="single"/>
    </w:rPr>
  </w:style>
  <w:style w:type="character" w:customStyle="1" w:styleId="BoldandItalics">
    <w:name w:val="Bold and Italics"/>
    <w:qFormat/>
    <w:rsid w:val="000257D1"/>
    <w:rPr>
      <w:b/>
      <w:i/>
      <w:u w:val="none"/>
    </w:rPr>
  </w:style>
  <w:style w:type="paragraph" w:styleId="BalloonText">
    <w:name w:val="Balloon Text"/>
    <w:basedOn w:val="Normal"/>
    <w:link w:val="BalloonTextChar"/>
    <w:rsid w:val="000257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7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57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7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57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57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57D1"/>
    <w:pPr>
      <w:spacing w:before="0" w:after="0"/>
    </w:pPr>
  </w:style>
  <w:style w:type="paragraph" w:customStyle="1" w:styleId="BodyTextBold">
    <w:name w:val="Body Text Bold"/>
    <w:basedOn w:val="BodyText"/>
    <w:qFormat/>
    <w:rsid w:val="000257D1"/>
    <w:rPr>
      <w:b/>
    </w:rPr>
  </w:style>
  <w:style w:type="character" w:styleId="Hyperlink">
    <w:name w:val="Hyperlink"/>
    <w:basedOn w:val="DefaultParagraphFont"/>
    <w:uiPriority w:val="99"/>
    <w:unhideWhenUsed/>
    <w:rsid w:val="00762A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3089</Characters>
  <Application>Microsoft Office Word</Application>
  <DocSecurity>0</DocSecurity>
  <Lines>140</Lines>
  <Paragraphs>74</Paragraphs>
  <ScaleCrop>false</ScaleCrop>
  <Company>Author-it Software Corporation Ltd.</Company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TLIW2039 Place and remove permanent way stop boards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2024-07-12T08:03:00Z</dcterms:created>
  <dcterms:modified xsi:type="dcterms:W3CDTF">2024-07-12T08:03:00Z</dcterms:modified>
</cp:coreProperties>
</file>