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448" w:rsidP="00B564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TLIW2032 Identify the principles of tamping machine operations</w:t>
      </w:r>
      <w:r>
        <w:fldChar w:fldCharType="end"/>
      </w:r>
    </w:p>
    <w:p w:rsidR="00B56448" w:rsidP="00B56448">
      <w:pPr>
        <w:pStyle w:val="Version"/>
        <w:sectPr w:rsidSect="00B164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64C4" w:rsidP="00B164C4">
      <w:pPr>
        <w:pStyle w:val="SuperHeading"/>
      </w:pPr>
      <w:r w:rsidRPr="00B164C4">
        <w:t>TLIW2032 Identify the principles of tamping machine operations</w:t>
      </w:r>
    </w:p>
    <w:p w:rsidR="00000000" w:rsidRPr="00B164C4" w:rsidP="00B164C4">
      <w:pPr>
        <w:pStyle w:val="Heading1"/>
      </w:pPr>
      <w:bookmarkStart w:id="1" w:name="O_1121257"/>
      <w:bookmarkEnd w:id="1"/>
      <w:r w:rsidRPr="00B164C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64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 w:rsidP="00B164C4">
            <w:pPr>
              <w:pStyle w:val="BodyText"/>
            </w:pPr>
            <w:r w:rsidRPr="00B164C4">
              <w:rPr>
                <w:rStyle w:val="SpecialBold"/>
              </w:rPr>
              <w:t>Release 2</w:t>
            </w:r>
            <w:r w:rsidRPr="00B164C4">
              <w:t>. This is the second release of this unit of competency in the TLI Transport and Logistics Training Package:</w:t>
            </w:r>
          </w:p>
          <w:p w:rsidR="00000000" w:rsidRPr="00B164C4" w:rsidP="00B164C4">
            <w:pPr>
              <w:pStyle w:val="ListBullet"/>
            </w:pPr>
            <w:r w:rsidRPr="00B164C4">
              <w:t>Mino</w:t>
            </w:r>
            <w:r w:rsidRPr="00B164C4">
              <w:t>r statement changes in unit Application</w:t>
            </w:r>
          </w:p>
          <w:p w:rsidR="00000000" w:rsidP="00B164C4">
            <w:pPr>
              <w:pStyle w:val="ListBullet"/>
              <w:rPr>
                <w:lang w:val="en-NZ"/>
              </w:rPr>
            </w:pPr>
            <w:r w:rsidRPr="00B164C4">
              <w:t>Minor statement changes in Assessment Conditions.</w:t>
            </w:r>
          </w:p>
        </w:tc>
      </w:tr>
      <w:tr w:rsidTr="00B164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 w:rsidP="00B164C4">
            <w:pPr>
              <w:pStyle w:val="BodyText"/>
            </w:pPr>
            <w:r w:rsidRPr="00B164C4">
              <w:rPr>
                <w:rStyle w:val="SpecialBold"/>
              </w:rPr>
              <w:t>Release 1</w:t>
            </w:r>
            <w:r w:rsidRPr="00B164C4">
              <w:t>. This is the first release of this unit of competency in the TLI Transport and Logistics Training Package.</w:t>
            </w:r>
          </w:p>
        </w:tc>
      </w:tr>
    </w:tbl>
    <w:p w:rsidR="00000000" w:rsidRPr="00B164C4" w:rsidP="00B164C4">
      <w:pPr>
        <w:pStyle w:val="NoPaddingFontSize1"/>
      </w:pPr>
    </w:p>
    <w:p w:rsidR="00000000" w:rsidRPr="00B164C4" w:rsidP="00B164C4">
      <w:pPr>
        <w:pStyle w:val="AllowPageBreak"/>
      </w:pPr>
    </w:p>
    <w:p w:rsidR="00000000" w:rsidRPr="00B164C4" w:rsidP="00B164C4">
      <w:pPr>
        <w:pStyle w:val="Heading1"/>
      </w:pPr>
      <w:bookmarkStart w:id="2" w:name="O_1121256"/>
      <w:bookmarkEnd w:id="2"/>
      <w:r w:rsidRPr="00B164C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64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 w:rsidP="00B164C4">
            <w:pPr>
              <w:pStyle w:val="BodyText"/>
            </w:pPr>
            <w:r w:rsidRPr="00B164C4">
              <w:t>This unit invol</w:t>
            </w:r>
            <w:r w:rsidRPr="00B164C4">
              <w:t>ves the skills and knowledge required to identify the principles of tamping machine operations for plain track and turnouts.</w:t>
            </w:r>
          </w:p>
          <w:p w:rsidR="00000000" w:rsidRPr="00B164C4" w:rsidP="00B164C4">
            <w:pPr>
              <w:pStyle w:val="BodyText"/>
            </w:pPr>
            <w:r w:rsidRPr="00B164C4">
              <w:t>It includes determining components and work stations of tamping machines, identifying tamping machine functions, and identifying ha</w:t>
            </w:r>
            <w:r w:rsidRPr="00B164C4">
              <w:t>zards and risks associated with tamping machine operations.</w:t>
            </w:r>
          </w:p>
          <w:p w:rsidR="00000000" w:rsidRPr="00B164C4" w:rsidP="00B164C4">
            <w:pPr>
              <w:pStyle w:val="BodyText"/>
            </w:pPr>
            <w:r w:rsidRPr="00B164C4">
              <w:t>The unit provides an introduction to tamping machines and is not to be used for their operation, which must be covered by individual certification for the particular machine.</w:t>
            </w:r>
          </w:p>
          <w:p w:rsidR="00000000" w:rsidRPr="00B164C4" w:rsidP="00B164C4">
            <w:pPr>
              <w:pStyle w:val="BodyText"/>
            </w:pPr>
            <w:r w:rsidRPr="00B164C4">
              <w:t>Components may includ</w:t>
            </w:r>
            <w:r w:rsidRPr="00B164C4">
              <w:t>e:</w:t>
            </w:r>
          </w:p>
          <w:p w:rsidR="00000000" w:rsidRPr="00B164C4" w:rsidP="00B164C4">
            <w:pPr>
              <w:pStyle w:val="ListBullet"/>
            </w:pPr>
            <w:r w:rsidRPr="00B164C4">
              <w:t>clamps/roller clamps</w:t>
            </w:r>
          </w:p>
          <w:p w:rsidR="00000000" w:rsidRPr="00B164C4" w:rsidP="00B164C4">
            <w:pPr>
              <w:pStyle w:val="ListBullet"/>
            </w:pPr>
            <w:r w:rsidRPr="00B164C4">
              <w:t>lasers</w:t>
            </w:r>
          </w:p>
          <w:p w:rsidR="00000000" w:rsidRPr="00B164C4" w:rsidP="00B164C4">
            <w:pPr>
              <w:pStyle w:val="ListBullet"/>
            </w:pPr>
            <w:r w:rsidRPr="00B164C4">
              <w:t>lifting and lining systems</w:t>
            </w:r>
          </w:p>
          <w:p w:rsidR="00000000" w:rsidRPr="00B164C4" w:rsidP="00B164C4">
            <w:pPr>
              <w:pStyle w:val="ListBullet"/>
            </w:pPr>
            <w:r w:rsidRPr="00B164C4">
              <w:t>lifting units, including third arm</w:t>
            </w:r>
          </w:p>
          <w:p w:rsidR="00000000" w:rsidRPr="00B164C4" w:rsidP="00B164C4">
            <w:pPr>
              <w:pStyle w:val="ListBullet"/>
            </w:pPr>
            <w:r w:rsidRPr="00B164C4">
              <w:t>ploughs</w:t>
            </w:r>
          </w:p>
          <w:p w:rsidR="00000000" w:rsidRPr="00B164C4" w:rsidP="00B164C4">
            <w:pPr>
              <w:pStyle w:val="ListBullet"/>
            </w:pPr>
            <w:r w:rsidRPr="00B164C4">
              <w:t>rail sweeps</w:t>
            </w:r>
          </w:p>
          <w:p w:rsidR="00000000" w:rsidRPr="00B164C4" w:rsidP="00B164C4">
            <w:pPr>
              <w:pStyle w:val="ListBullet"/>
            </w:pPr>
            <w:r w:rsidRPr="00B164C4">
              <w:t>satellites</w:t>
            </w:r>
          </w:p>
          <w:p w:rsidR="00000000" w:rsidRPr="00B164C4" w:rsidP="00B164C4">
            <w:pPr>
              <w:pStyle w:val="ListBullet"/>
            </w:pPr>
            <w:r w:rsidRPr="00B164C4">
              <w:t>tamping tools and work heads</w:t>
            </w:r>
          </w:p>
          <w:p w:rsidR="00000000" w:rsidRPr="00B164C4" w:rsidP="00B164C4">
            <w:pPr>
              <w:pStyle w:val="ListBullet"/>
            </w:pPr>
            <w:r w:rsidRPr="00B164C4">
              <w:t>trolleys.</w:t>
            </w:r>
          </w:p>
          <w:p w:rsidR="00000000" w:rsidRPr="00B164C4" w:rsidP="00B164C4">
            <w:pPr>
              <w:pStyle w:val="BodyText"/>
            </w:pPr>
            <w:r w:rsidRPr="00B164C4">
              <w:t>Work stations may include:</w:t>
            </w:r>
          </w:p>
          <w:p w:rsidR="00000000" w:rsidRPr="00B164C4" w:rsidP="00B164C4">
            <w:pPr>
              <w:pStyle w:val="ListBullet"/>
            </w:pPr>
            <w:r w:rsidRPr="00B164C4">
              <w:tab/>
              <w:t>interpret and data input</w:t>
            </w:r>
          </w:p>
          <w:p w:rsidR="00000000" w:rsidRPr="00B164C4" w:rsidP="00B164C4">
            <w:pPr>
              <w:pStyle w:val="ListBullet"/>
            </w:pPr>
            <w:r w:rsidRPr="00B164C4">
              <w:t>drive station</w:t>
            </w:r>
          </w:p>
          <w:p w:rsidR="00000000" w:rsidRPr="00B164C4" w:rsidP="00B164C4">
            <w:pPr>
              <w:pStyle w:val="ListBullet"/>
            </w:pPr>
            <w:r w:rsidRPr="00B164C4">
              <w:t>external work station and ground person</w:t>
            </w:r>
          </w:p>
          <w:p w:rsidR="00000000" w:rsidRPr="00B164C4" w:rsidP="00B164C4">
            <w:pPr>
              <w:pStyle w:val="ListBullet"/>
            </w:pPr>
            <w:r w:rsidRPr="00B164C4">
              <w:t>front tower</w:t>
            </w:r>
          </w:p>
          <w:p w:rsidR="00000000" w:rsidRPr="00B164C4" w:rsidP="00B164C4">
            <w:pPr>
              <w:pStyle w:val="ListBullet"/>
            </w:pPr>
            <w:r w:rsidRPr="00B164C4">
              <w:t>laser operation station</w:t>
            </w:r>
          </w:p>
          <w:p w:rsidR="00000000" w:rsidRPr="00B164C4" w:rsidP="00B164C4">
            <w:pPr>
              <w:pStyle w:val="ListBullet"/>
            </w:pPr>
            <w:r w:rsidRPr="00B164C4">
              <w:t>main operator station.</w:t>
            </w:r>
          </w:p>
          <w:p w:rsidR="00000000" w:rsidRPr="00B164C4" w:rsidP="00B164C4">
            <w:pPr>
              <w:pStyle w:val="BodyText"/>
            </w:pPr>
            <w:r w:rsidRPr="00B164C4">
              <w:t>Operators of tamping machines must have undertaken training and hold the relevant licence, permit or certificate and be recognised as competent for each type</w:t>
            </w:r>
            <w:r w:rsidRPr="00B164C4">
              <w:t xml:space="preserve"> of machinery being used.</w:t>
            </w:r>
          </w:p>
          <w:p w:rsidR="00000000" w:rsidRPr="00B164C4" w:rsidP="00B164C4">
            <w:pPr>
              <w:pStyle w:val="BodyText"/>
            </w:pPr>
            <w:r w:rsidRPr="00B164C4">
              <w:t>No licensing, legislative or certification requirements apply to this unit at the time of publication.</w:t>
            </w:r>
          </w:p>
        </w:tc>
      </w:tr>
    </w:tbl>
    <w:p w:rsidR="00000000" w:rsidRPr="00B164C4" w:rsidP="00B164C4">
      <w:pPr>
        <w:pStyle w:val="NoPaddingFontSize1"/>
      </w:pPr>
    </w:p>
    <w:p w:rsidR="00000000" w:rsidRPr="00B164C4" w:rsidP="00B164C4">
      <w:pPr>
        <w:pStyle w:val="AllowPageBreak"/>
      </w:pPr>
    </w:p>
    <w:p w:rsidR="00000000" w:rsidRPr="00B164C4" w:rsidP="00B164C4">
      <w:pPr>
        <w:pStyle w:val="Heading1"/>
      </w:pPr>
      <w:bookmarkStart w:id="3" w:name="O_1121255"/>
      <w:bookmarkEnd w:id="3"/>
      <w:r w:rsidRPr="00B164C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64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 w:rsidP="00B164C4">
            <w:pPr>
              <w:pStyle w:val="BodyText"/>
            </w:pPr>
            <w:r w:rsidRPr="00B164C4">
              <w:t>Not applicable.</w:t>
            </w:r>
          </w:p>
        </w:tc>
      </w:tr>
    </w:tbl>
    <w:p w:rsidR="00000000" w:rsidRPr="00B164C4" w:rsidP="00B164C4">
      <w:pPr>
        <w:pStyle w:val="NoPaddingFontSize1"/>
      </w:pPr>
    </w:p>
    <w:p w:rsidR="00000000" w:rsidRPr="00B164C4" w:rsidP="00B164C4">
      <w:pPr>
        <w:pStyle w:val="AllowPageBreak"/>
      </w:pPr>
    </w:p>
    <w:p w:rsidR="00000000" w:rsidRPr="00B164C4" w:rsidP="00B164C4">
      <w:pPr>
        <w:pStyle w:val="Heading1"/>
      </w:pPr>
      <w:bookmarkStart w:id="4" w:name="O_1121254"/>
      <w:bookmarkEnd w:id="4"/>
      <w:r w:rsidRPr="00B164C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64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 w:rsidP="00B164C4">
            <w:pPr>
              <w:pStyle w:val="BodyText"/>
            </w:pPr>
            <w:r w:rsidRPr="00B164C4">
              <w:t>W –</w:t>
            </w:r>
            <w:r w:rsidRPr="00B164C4">
              <w:t xml:space="preserve"> Equipment and Systems Operations</w:t>
            </w:r>
          </w:p>
        </w:tc>
      </w:tr>
    </w:tbl>
    <w:p w:rsidR="00000000" w:rsidRPr="00B164C4" w:rsidP="00B164C4">
      <w:pPr>
        <w:pStyle w:val="NoPaddingFontSize1"/>
      </w:pPr>
    </w:p>
    <w:p w:rsidR="00000000" w:rsidRPr="00B164C4" w:rsidP="00B164C4">
      <w:pPr>
        <w:pStyle w:val="AllowPageBreak"/>
      </w:pPr>
    </w:p>
    <w:p w:rsidR="00000000" w:rsidRPr="00B164C4" w:rsidP="00B164C4">
      <w:pPr>
        <w:pStyle w:val="Heading1"/>
      </w:pPr>
      <w:bookmarkStart w:id="5" w:name="O_1121253"/>
      <w:bookmarkEnd w:id="5"/>
      <w:r w:rsidRPr="00B164C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64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 w:rsidP="00B164C4">
            <w:pPr>
              <w:pStyle w:val="BodyText"/>
            </w:pPr>
            <w:r w:rsidRPr="00B164C4">
              <w:t>Rail sector.</w:t>
            </w:r>
          </w:p>
        </w:tc>
      </w:tr>
    </w:tbl>
    <w:p w:rsidR="00000000" w:rsidRPr="00B164C4" w:rsidP="00B164C4">
      <w:pPr>
        <w:pStyle w:val="NoPaddingFontSize1"/>
      </w:pPr>
    </w:p>
    <w:p w:rsidR="00000000" w:rsidRPr="00B164C4" w:rsidP="00B164C4">
      <w:pPr>
        <w:pStyle w:val="AllowPageBreak"/>
      </w:pPr>
    </w:p>
    <w:p w:rsidR="00000000" w:rsidRPr="00B164C4" w:rsidP="00B164C4">
      <w:pPr>
        <w:pStyle w:val="Heading1"/>
      </w:pPr>
      <w:bookmarkStart w:id="6" w:name="O_1121252"/>
      <w:bookmarkEnd w:id="6"/>
      <w:r w:rsidRPr="00B164C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164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 w:rsidP="00B164C4">
            <w:pPr>
              <w:pStyle w:val="BodyText"/>
            </w:pPr>
            <w:r w:rsidRPr="00B164C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C4">
            <w:pPr>
              <w:pStyle w:val="BodyText"/>
              <w:rPr>
                <w:lang w:val="en-NZ"/>
              </w:rPr>
            </w:pPr>
            <w:r w:rsidRPr="00B164C4">
              <w:rPr>
                <w:rStyle w:val="SpecialBold"/>
              </w:rPr>
              <w:t>PERFORMANCE CRITERIA</w:t>
            </w:r>
          </w:p>
        </w:tc>
      </w:tr>
      <w:tr w:rsidTr="00B164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C4">
            <w:pPr>
              <w:pStyle w:val="BodyText"/>
              <w:rPr>
                <w:lang w:val="en-NZ"/>
              </w:rPr>
            </w:pPr>
            <w:r w:rsidRPr="00B164C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C4">
            <w:pPr>
              <w:pStyle w:val="BodyText"/>
              <w:rPr>
                <w:lang w:val="en-NZ"/>
              </w:rPr>
            </w:pPr>
            <w:r w:rsidRPr="00B164C4">
              <w:t>Performance criteria describe the performance needed to demonstrate achievement of the element.</w:t>
            </w:r>
          </w:p>
        </w:tc>
      </w:tr>
      <w:tr w:rsidTr="00B164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 w:rsidP="00B164C4">
            <w:pPr>
              <w:pStyle w:val="BodyText"/>
            </w:pPr>
            <w:r w:rsidRPr="00B164C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 w:rsidP="00B164C4">
            <w:pPr>
              <w:pStyle w:val="BodyText"/>
            </w:pPr>
            <w:r w:rsidRPr="00B164C4">
              <w:rPr>
                <w:rStyle w:val="SpecialBold"/>
              </w:rPr>
              <w:t>Determine components and work stations of tamping machines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C4">
            <w:pPr>
              <w:pStyle w:val="BodyText"/>
              <w:rPr>
                <w:lang w:val="en-NZ"/>
              </w:rPr>
            </w:pPr>
            <w:r w:rsidRPr="00B164C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C4">
            <w:pPr>
              <w:pStyle w:val="BodyText"/>
              <w:rPr>
                <w:lang w:val="en-NZ"/>
              </w:rPr>
            </w:pPr>
            <w:r w:rsidRPr="00B164C4">
              <w:t>Tamping machine components and individual work stations are identified</w:t>
            </w:r>
          </w:p>
        </w:tc>
      </w:tr>
      <w:tr w:rsidTr="00B164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C4">
            <w:pPr>
              <w:pStyle w:val="BodyText"/>
              <w:rPr>
                <w:lang w:val="en-NZ"/>
              </w:rPr>
            </w:pPr>
            <w:r w:rsidRPr="00B164C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C4">
            <w:pPr>
              <w:pStyle w:val="BodyText"/>
              <w:rPr>
                <w:lang w:val="en-NZ"/>
              </w:rPr>
            </w:pPr>
            <w:r w:rsidRPr="00B164C4">
              <w:t>Purpose of ide</w:t>
            </w:r>
            <w:r w:rsidRPr="00B164C4">
              <w:t>ntified components and individual work stations is explained</w:t>
            </w:r>
          </w:p>
        </w:tc>
      </w:tr>
      <w:tr w:rsidTr="00B164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C4">
            <w:pPr>
              <w:pStyle w:val="BodyText"/>
              <w:rPr>
                <w:lang w:val="en-NZ"/>
              </w:rPr>
            </w:pPr>
            <w:r w:rsidRPr="00B164C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C4">
            <w:pPr>
              <w:pStyle w:val="BodyText"/>
              <w:rPr>
                <w:lang w:val="en-NZ"/>
              </w:rPr>
            </w:pPr>
            <w:r w:rsidRPr="00B164C4">
              <w:t>Associated hazards of each component and appropriate control methods are identified</w:t>
            </w:r>
          </w:p>
        </w:tc>
      </w:tr>
      <w:tr w:rsidTr="00B164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 w:rsidP="00B164C4">
            <w:pPr>
              <w:pStyle w:val="BodyText"/>
            </w:pPr>
            <w:r w:rsidRPr="00B164C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 w:rsidP="00B164C4">
            <w:pPr>
              <w:pStyle w:val="BodyText"/>
            </w:pPr>
            <w:r w:rsidRPr="00B164C4">
              <w:rPr>
                <w:rStyle w:val="SpecialBold"/>
              </w:rPr>
              <w:t>Identify tamping machine 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C4">
            <w:pPr>
              <w:pStyle w:val="BodyText"/>
              <w:rPr>
                <w:lang w:val="en-NZ"/>
              </w:rPr>
            </w:pPr>
            <w:r w:rsidRPr="00B164C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C4">
            <w:pPr>
              <w:pStyle w:val="BodyText"/>
              <w:rPr>
                <w:lang w:val="en-NZ"/>
              </w:rPr>
            </w:pPr>
            <w:r w:rsidRPr="00B164C4">
              <w:t>Purposes of tamping machine are identified</w:t>
            </w:r>
          </w:p>
        </w:tc>
      </w:tr>
      <w:tr w:rsidTr="00B164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C4">
            <w:pPr>
              <w:pStyle w:val="BodyText"/>
              <w:rPr>
                <w:lang w:val="en-NZ"/>
              </w:rPr>
            </w:pPr>
            <w:r w:rsidRPr="00B164C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C4">
            <w:pPr>
              <w:pStyle w:val="BodyText"/>
              <w:rPr>
                <w:lang w:val="en-NZ"/>
              </w:rPr>
            </w:pPr>
            <w:r w:rsidRPr="00B164C4">
              <w:t>Methods by which the tamping machine constructs or maintains the track to the required track geometry in accordance with network owner’s standards, are identified</w:t>
            </w:r>
          </w:p>
        </w:tc>
      </w:tr>
      <w:tr w:rsidTr="00B164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 w:rsidP="00B164C4">
            <w:pPr>
              <w:pStyle w:val="BodyText"/>
            </w:pPr>
            <w:r w:rsidRPr="00B164C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 w:rsidP="00B164C4">
            <w:pPr>
              <w:pStyle w:val="BodyText"/>
            </w:pPr>
            <w:r w:rsidRPr="00B164C4">
              <w:rPr>
                <w:rStyle w:val="SpecialBold"/>
              </w:rPr>
              <w:t>Identify hazards and risks associated with tamping machine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C4">
            <w:pPr>
              <w:pStyle w:val="BodyText"/>
              <w:rPr>
                <w:lang w:val="en-NZ"/>
              </w:rPr>
            </w:pPr>
            <w:r w:rsidRPr="00B164C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C4">
            <w:pPr>
              <w:pStyle w:val="BodyText"/>
              <w:rPr>
                <w:lang w:val="en-NZ"/>
              </w:rPr>
            </w:pPr>
            <w:r w:rsidRPr="00B164C4">
              <w:t>Environmental ha</w:t>
            </w:r>
            <w:r w:rsidRPr="00B164C4">
              <w:t>zards are identified</w:t>
            </w:r>
          </w:p>
        </w:tc>
      </w:tr>
      <w:tr w:rsidTr="00B164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4C4">
            <w:pPr>
              <w:pStyle w:val="BodyText"/>
              <w:rPr>
                <w:lang w:val="en-NZ"/>
              </w:rPr>
            </w:pPr>
            <w:r w:rsidRPr="00B164C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 w:rsidP="00B164C4">
            <w:pPr>
              <w:pStyle w:val="BodyText"/>
            </w:pPr>
            <w:r w:rsidRPr="00B164C4">
              <w:t>Potential risks to the rail infrastructure are identified</w:t>
            </w:r>
          </w:p>
        </w:tc>
      </w:tr>
    </w:tbl>
    <w:p w:rsidR="00000000" w:rsidRPr="00B164C4" w:rsidP="00B164C4">
      <w:pPr>
        <w:pStyle w:val="NoPaddingFontSize1"/>
      </w:pPr>
    </w:p>
    <w:p w:rsidR="00000000" w:rsidRPr="00B164C4" w:rsidP="00B164C4">
      <w:pPr>
        <w:pStyle w:val="AllowPageBreak"/>
      </w:pPr>
    </w:p>
    <w:p w:rsidR="00000000" w:rsidRPr="00B164C4" w:rsidP="00B164C4">
      <w:pPr>
        <w:pStyle w:val="Heading1"/>
      </w:pPr>
      <w:bookmarkStart w:id="7" w:name="O_1121251"/>
      <w:bookmarkEnd w:id="7"/>
      <w:r w:rsidRPr="00B164C4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164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 w:rsidP="00B164C4">
            <w:pPr>
              <w:pStyle w:val="BodyText"/>
            </w:pPr>
            <w:r w:rsidRPr="00B164C4">
              <w:t>Foundation skills essential to performance are explicit in the performance criteria of this unit of competency.</w:t>
            </w:r>
          </w:p>
        </w:tc>
      </w:tr>
    </w:tbl>
    <w:p w:rsidR="00B56448" w:rsidP="00B164C4">
      <w:pPr>
        <w:pStyle w:val="NoPaddingFontSize1"/>
      </w:pPr>
    </w:p>
    <w:p w:rsidR="00B56448" w:rsidP="00B164C4">
      <w:pPr>
        <w:pStyle w:val="NoPaddingFontSize1"/>
      </w:pPr>
    </w:p>
    <w:p w:rsidR="00000000" w:rsidRPr="00B164C4" w:rsidP="00B164C4">
      <w:pPr>
        <w:pStyle w:val="Heading1"/>
      </w:pPr>
      <w:bookmarkStart w:id="8" w:name="O_1121250"/>
      <w:bookmarkEnd w:id="8"/>
      <w:r w:rsidRPr="00B164C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64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 w:rsidP="00B164C4">
            <w:pPr>
              <w:pStyle w:val="BodyText"/>
            </w:pPr>
            <w:r w:rsidRPr="00B164C4">
              <w:t>Range is restricted to essential operating conditions and any other variables essential to the work environment.</w:t>
            </w:r>
          </w:p>
        </w:tc>
      </w:tr>
    </w:tbl>
    <w:p w:rsidR="00000000" w:rsidRPr="00B164C4" w:rsidP="00B164C4">
      <w:pPr>
        <w:pStyle w:val="NoPaddingFontSize1"/>
      </w:pPr>
    </w:p>
    <w:p w:rsidR="00000000" w:rsidRPr="00B164C4" w:rsidP="00B164C4">
      <w:pPr>
        <w:pStyle w:val="AllowPageBreak"/>
      </w:pPr>
    </w:p>
    <w:p w:rsidR="00000000" w:rsidRPr="00B164C4" w:rsidP="00B164C4">
      <w:pPr>
        <w:pStyle w:val="Heading1"/>
      </w:pPr>
      <w:bookmarkStart w:id="9" w:name="O_1121249"/>
      <w:bookmarkEnd w:id="9"/>
      <w:r w:rsidRPr="00B164C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64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4C4" w:rsidP="00B164C4">
            <w:pPr>
              <w:pStyle w:val="BodyText"/>
            </w:pPr>
            <w:r w:rsidRPr="00B164C4">
              <w:t>This unit replaces and is equivalent to TLIW2032A Identify the principles of tamping machine operations.</w:t>
            </w:r>
          </w:p>
        </w:tc>
      </w:tr>
    </w:tbl>
    <w:p w:rsidR="00000000" w:rsidRPr="00B164C4" w:rsidP="00B164C4">
      <w:pPr>
        <w:pStyle w:val="NoPaddingFontSize1"/>
      </w:pPr>
    </w:p>
    <w:p w:rsidR="00000000" w:rsidRPr="00B164C4" w:rsidP="00B164C4">
      <w:pPr>
        <w:pStyle w:val="AllowPageBreak"/>
      </w:pPr>
    </w:p>
    <w:p w:rsidR="00000000" w:rsidRPr="00B164C4" w:rsidP="00B164C4">
      <w:pPr>
        <w:pStyle w:val="Heading1"/>
      </w:pPr>
      <w:bookmarkStart w:id="10" w:name="O_1121258"/>
      <w:bookmarkEnd w:id="10"/>
      <w:r w:rsidRPr="00B164C4">
        <w:t>Links</w:t>
      </w:r>
    </w:p>
    <w:p w:rsidR="00000000" w:rsidRPr="00B164C4" w:rsidP="00B56448">
      <w:pPr>
        <w:pStyle w:val="BodyText"/>
      </w:pPr>
      <w:r w:rsidRPr="00B164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96D6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164C4" w:rsidP="00B164C4"/>
    <w:sectPr w:rsidSect="00B164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C4" w:rsidRPr="00B56448" w:rsidP="00B564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48" w:rsidP="00B164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6448" w:rsidP="00B164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56448" w:rsidP="00B164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4C4" w:rsidRPr="00B56448" w:rsidP="00B564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4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48" w:rsidRPr="002D2AF8" w:rsidP="00B164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TLIW2032 Identify the principles of tamping machine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56448" w:rsidP="00B164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7A3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664D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4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4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4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4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4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4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4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4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4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4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4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4C4"/>
  </w:style>
  <w:style w:type="character" w:customStyle="1" w:styleId="Heading1Char">
    <w:name w:val="Heading 1 Char"/>
    <w:basedOn w:val="DefaultParagraphFont"/>
    <w:link w:val="Heading1"/>
    <w:rsid w:val="00B164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4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4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64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64C4"/>
    <w:rPr>
      <w:b/>
      <w:spacing w:val="0"/>
    </w:rPr>
  </w:style>
  <w:style w:type="paragraph" w:customStyle="1" w:styleId="SuperHeading">
    <w:name w:val="SuperHeading"/>
    <w:basedOn w:val="Normal"/>
    <w:rsid w:val="00B164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4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64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4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4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4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4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4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4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4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4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4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4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4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4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4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4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4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4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4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64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64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64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4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4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64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64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4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4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4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4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4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4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4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4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64C4"/>
    <w:rPr>
      <w:i/>
    </w:rPr>
  </w:style>
  <w:style w:type="paragraph" w:styleId="Caption">
    <w:name w:val="caption"/>
    <w:basedOn w:val="BodyText"/>
    <w:next w:val="Normal"/>
    <w:qFormat/>
    <w:rsid w:val="00B164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4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4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4C4"/>
  </w:style>
  <w:style w:type="paragraph" w:styleId="TableofFigures">
    <w:name w:val="table of figures"/>
    <w:basedOn w:val="Normal"/>
    <w:next w:val="Normal"/>
    <w:semiHidden/>
    <w:rsid w:val="00B164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4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64C4"/>
    <w:rPr>
      <w:rFonts w:ascii="Wingdings" w:hAnsi="Wingdings"/>
    </w:rPr>
  </w:style>
  <w:style w:type="paragraph" w:customStyle="1" w:styleId="TableHeading">
    <w:name w:val="Table Heading"/>
    <w:basedOn w:val="HeadingBase"/>
    <w:rsid w:val="00B164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4C4"/>
    <w:rPr>
      <w:color w:val="0033CC"/>
      <w:u w:val="none"/>
    </w:rPr>
  </w:style>
  <w:style w:type="paragraph" w:customStyle="1" w:styleId="BodyTextRight">
    <w:name w:val="Body Text Right"/>
    <w:basedOn w:val="BodyText"/>
    <w:rsid w:val="00B164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4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4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4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4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4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4C4"/>
    <w:rPr>
      <w:sz w:val="32"/>
    </w:rPr>
  </w:style>
  <w:style w:type="paragraph" w:customStyle="1" w:styleId="HeadingProcedure">
    <w:name w:val="Heading Procedure"/>
    <w:basedOn w:val="HeadingBase"/>
    <w:next w:val="Normal"/>
    <w:rsid w:val="00B164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4C4"/>
    <w:pPr>
      <w:spacing w:before="60" w:after="60"/>
    </w:pPr>
  </w:style>
  <w:style w:type="paragraph" w:styleId="ListContinue">
    <w:name w:val="List Continue"/>
    <w:basedOn w:val="List"/>
    <w:rsid w:val="00B164C4"/>
    <w:pPr>
      <w:ind w:firstLine="0"/>
    </w:pPr>
  </w:style>
  <w:style w:type="paragraph" w:customStyle="1" w:styleId="ListNote">
    <w:name w:val="List Note"/>
    <w:basedOn w:val="List"/>
    <w:rsid w:val="00B164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4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4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4C4"/>
    <w:rPr>
      <w:rFonts w:ascii="Courier New" w:hAnsi="Courier New"/>
    </w:rPr>
  </w:style>
  <w:style w:type="paragraph" w:customStyle="1" w:styleId="NoteBullet">
    <w:name w:val="Note Bullet"/>
    <w:basedOn w:val="Note"/>
    <w:rsid w:val="00B164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4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4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4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4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64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4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4C4"/>
    <w:rPr>
      <w:b/>
      <w:smallCaps/>
    </w:rPr>
  </w:style>
  <w:style w:type="paragraph" w:customStyle="1" w:styleId="TableListNumber">
    <w:name w:val="Table List Number"/>
    <w:basedOn w:val="ListNumber"/>
    <w:rsid w:val="00B164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4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4C4"/>
    <w:pPr>
      <w:numPr>
        <w:numId w:val="8"/>
      </w:numPr>
    </w:pPr>
  </w:style>
  <w:style w:type="paragraph" w:customStyle="1" w:styleId="ListAlpha2">
    <w:name w:val="List Alpha 2"/>
    <w:basedOn w:val="List2"/>
    <w:rsid w:val="00B164C4"/>
    <w:pPr>
      <w:numPr>
        <w:numId w:val="7"/>
      </w:numPr>
    </w:pPr>
  </w:style>
  <w:style w:type="paragraph" w:styleId="List2">
    <w:name w:val="List 2"/>
    <w:basedOn w:val="BodyText"/>
    <w:rsid w:val="00B164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4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4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4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4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4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64C4"/>
    <w:pPr>
      <w:numPr>
        <w:numId w:val="3"/>
      </w:numPr>
    </w:pPr>
  </w:style>
  <w:style w:type="paragraph" w:styleId="ListContinue2">
    <w:name w:val="List Continue 2"/>
    <w:basedOn w:val="List2"/>
    <w:rsid w:val="00B164C4"/>
    <w:pPr>
      <w:ind w:firstLine="0"/>
    </w:pPr>
  </w:style>
  <w:style w:type="paragraph" w:styleId="ListContinue3">
    <w:name w:val="List Continue 3"/>
    <w:basedOn w:val="List3"/>
    <w:rsid w:val="00B164C4"/>
    <w:pPr>
      <w:ind w:left="1021" w:firstLine="0"/>
    </w:pPr>
  </w:style>
  <w:style w:type="paragraph" w:styleId="ListContinue4">
    <w:name w:val="List Continue 4"/>
    <w:basedOn w:val="List4"/>
    <w:rsid w:val="00B164C4"/>
    <w:pPr>
      <w:ind w:firstLine="0"/>
    </w:pPr>
  </w:style>
  <w:style w:type="paragraph" w:styleId="ListContinue5">
    <w:name w:val="List Continue 5"/>
    <w:basedOn w:val="List5"/>
    <w:rsid w:val="00B164C4"/>
    <w:pPr>
      <w:ind w:firstLine="0"/>
    </w:pPr>
  </w:style>
  <w:style w:type="paragraph" w:styleId="ListNumber3">
    <w:name w:val="List Number 3"/>
    <w:basedOn w:val="List3"/>
    <w:rsid w:val="00B164C4"/>
    <w:pPr>
      <w:numPr>
        <w:numId w:val="4"/>
      </w:numPr>
    </w:pPr>
  </w:style>
  <w:style w:type="paragraph" w:styleId="ListNumber4">
    <w:name w:val="List Number 4"/>
    <w:basedOn w:val="List4"/>
    <w:rsid w:val="00B164C4"/>
    <w:pPr>
      <w:numPr>
        <w:numId w:val="5"/>
      </w:numPr>
    </w:pPr>
  </w:style>
  <w:style w:type="paragraph" w:styleId="ListNumber5">
    <w:name w:val="List Number 5"/>
    <w:basedOn w:val="List5"/>
    <w:rsid w:val="00B164C4"/>
    <w:pPr>
      <w:numPr>
        <w:numId w:val="6"/>
      </w:numPr>
    </w:pPr>
  </w:style>
  <w:style w:type="paragraph" w:styleId="BlockText">
    <w:name w:val="Block Text"/>
    <w:basedOn w:val="Normal"/>
    <w:rsid w:val="00B164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4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4C4"/>
    <w:rPr>
      <w:sz w:val="16"/>
      <w:vertAlign w:val="superscript"/>
    </w:rPr>
  </w:style>
  <w:style w:type="character" w:customStyle="1" w:styleId="Symbols">
    <w:name w:val="Symbols"/>
    <w:basedOn w:val="DefaultParagraphFont"/>
    <w:rsid w:val="00B164C4"/>
    <w:rPr>
      <w:rFonts w:ascii="Symbol" w:hAnsi="Symbol"/>
    </w:rPr>
  </w:style>
  <w:style w:type="character" w:customStyle="1" w:styleId="MenuOptions">
    <w:name w:val="Menu Options"/>
    <w:basedOn w:val="DefaultParagraphFont"/>
    <w:rsid w:val="00B164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4C4"/>
    <w:rPr>
      <w:b/>
    </w:rPr>
  </w:style>
  <w:style w:type="character" w:customStyle="1" w:styleId="Underlined">
    <w:name w:val="Underlined"/>
    <w:basedOn w:val="DefaultParagraphFont"/>
    <w:rsid w:val="00B164C4"/>
    <w:rPr>
      <w:u w:val="single"/>
    </w:rPr>
  </w:style>
  <w:style w:type="paragraph" w:customStyle="1" w:styleId="TableBodyTextRight">
    <w:name w:val="Table Body Text Right"/>
    <w:basedOn w:val="TableBodyText"/>
    <w:rsid w:val="00B164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4C4"/>
    <w:rPr>
      <w:sz w:val="18"/>
    </w:rPr>
  </w:style>
  <w:style w:type="paragraph" w:customStyle="1" w:styleId="BodySmallRight">
    <w:name w:val="Body Small Right"/>
    <w:basedOn w:val="BodyTextRight"/>
    <w:rsid w:val="00B164C4"/>
    <w:rPr>
      <w:sz w:val="18"/>
      <w:szCs w:val="18"/>
    </w:rPr>
  </w:style>
  <w:style w:type="paragraph" w:customStyle="1" w:styleId="MarginEdition">
    <w:name w:val="Margin Edition"/>
    <w:basedOn w:val="MarginNote"/>
    <w:rsid w:val="00B164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4C4"/>
    <w:rPr>
      <w:sz w:val="2"/>
      <w:szCs w:val="2"/>
    </w:rPr>
  </w:style>
  <w:style w:type="character" w:customStyle="1" w:styleId="Small">
    <w:name w:val="Small"/>
    <w:basedOn w:val="DefaultParagraphFont"/>
    <w:rsid w:val="00B164C4"/>
    <w:rPr>
      <w:sz w:val="16"/>
    </w:rPr>
  </w:style>
  <w:style w:type="paragraph" w:customStyle="1" w:styleId="WideTable">
    <w:name w:val="Wide Table"/>
    <w:basedOn w:val="Normal"/>
    <w:rsid w:val="00B164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4C4"/>
  </w:style>
  <w:style w:type="paragraph" w:styleId="Quote">
    <w:name w:val="Quote"/>
    <w:basedOn w:val="Heading1"/>
    <w:link w:val="QuoteChar"/>
    <w:qFormat/>
    <w:rsid w:val="00B164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4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4C4"/>
    <w:pPr>
      <w:pageBreakBefore/>
    </w:pPr>
  </w:style>
  <w:style w:type="paragraph" w:customStyle="1" w:styleId="Border">
    <w:name w:val="Border"/>
    <w:basedOn w:val="Normal"/>
    <w:qFormat/>
    <w:rsid w:val="00B164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4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4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4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4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4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4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4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4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4C4"/>
    <w:rPr>
      <w:u w:val="single"/>
    </w:rPr>
  </w:style>
  <w:style w:type="character" w:customStyle="1" w:styleId="BoldandItalics">
    <w:name w:val="Bold and Italics"/>
    <w:qFormat/>
    <w:rsid w:val="00B164C4"/>
    <w:rPr>
      <w:b/>
      <w:i/>
      <w:u w:val="none"/>
    </w:rPr>
  </w:style>
  <w:style w:type="paragraph" w:styleId="BalloonText">
    <w:name w:val="Balloon Text"/>
    <w:basedOn w:val="Normal"/>
    <w:link w:val="BalloonTextChar"/>
    <w:rsid w:val="00B164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4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4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4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4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4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4C4"/>
    <w:pPr>
      <w:spacing w:before="0" w:after="0"/>
    </w:pPr>
  </w:style>
  <w:style w:type="paragraph" w:customStyle="1" w:styleId="BodyTextBold">
    <w:name w:val="Body Text Bold"/>
    <w:basedOn w:val="BodyText"/>
    <w:qFormat/>
    <w:rsid w:val="00B164C4"/>
    <w:rPr>
      <w:b/>
    </w:rPr>
  </w:style>
  <w:style w:type="character" w:styleId="Hyperlink">
    <w:name w:val="Hyperlink"/>
    <w:basedOn w:val="DefaultParagraphFont"/>
    <w:uiPriority w:val="99"/>
    <w:unhideWhenUsed/>
    <w:rsid w:val="00B564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2973</Characters>
  <Application>Microsoft Office Word</Application>
  <DocSecurity>0</DocSecurity>
  <Lines>135</Lines>
  <Paragraphs>84</Paragraphs>
  <ScaleCrop>false</ScaleCrop>
  <Company>Author-it Software Corporation Ltd.</Company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TLIW2032 Identify the principles of tamping machine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2024-07-12T07:51:00Z</dcterms:created>
  <dcterms:modified xsi:type="dcterms:W3CDTF">2024-07-12T07:51:00Z</dcterms:modified>
</cp:coreProperties>
</file>