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40A4" w:rsidP="003040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TLIW2030 Identify the principles of dynamic track stabaliser operations</w:t>
      </w:r>
      <w:r>
        <w:fldChar w:fldCharType="end"/>
      </w:r>
    </w:p>
    <w:p w:rsidR="003040A4" w:rsidP="003040A4">
      <w:pPr>
        <w:pStyle w:val="Version"/>
        <w:sectPr w:rsidSect="00BA4F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A4F96" w:rsidP="00BA4F96">
      <w:pPr>
        <w:pStyle w:val="SuperHeading"/>
      </w:pPr>
      <w:r w:rsidRPr="00BA4F96">
        <w:t>TLIW2030 Identify the principles of dynamic track stabaliser operations</w:t>
      </w:r>
    </w:p>
    <w:p w:rsidR="00000000" w:rsidRPr="00BA4F96" w:rsidP="00BA4F96">
      <w:pPr>
        <w:pStyle w:val="Heading1"/>
      </w:pPr>
      <w:bookmarkStart w:id="1" w:name="O_1121153"/>
      <w:bookmarkEnd w:id="1"/>
      <w:r w:rsidRPr="00BA4F9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4F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F96" w:rsidP="00BA4F96">
            <w:pPr>
              <w:pStyle w:val="BodyText"/>
            </w:pPr>
            <w:r w:rsidRPr="00BA4F96">
              <w:rPr>
                <w:rStyle w:val="SpecialBold"/>
              </w:rPr>
              <w:t>Release 2</w:t>
            </w:r>
            <w:r w:rsidRPr="00BA4F96">
              <w:t>. This is the second release of this unit of competency in the TLI Transport and Logistics Training Package:</w:t>
            </w:r>
          </w:p>
          <w:p w:rsidR="00000000" w:rsidP="00BA4F96">
            <w:pPr>
              <w:pStyle w:val="ListBullet"/>
              <w:rPr>
                <w:lang w:val="en-NZ"/>
              </w:rPr>
            </w:pPr>
            <w:r w:rsidRPr="00BA4F96">
              <w:t>Minor statement changes in Assessment Conditions.</w:t>
            </w:r>
          </w:p>
        </w:tc>
      </w:tr>
      <w:tr w:rsidTr="00BA4F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F96" w:rsidP="00BA4F96">
            <w:pPr>
              <w:pStyle w:val="BodyText"/>
            </w:pPr>
            <w:r w:rsidRPr="00BA4F96">
              <w:rPr>
                <w:rStyle w:val="SpecialBold"/>
              </w:rPr>
              <w:t>Release 1</w:t>
            </w:r>
            <w:r w:rsidRPr="00BA4F96">
              <w:t>. This is the first release of this unit of competency in the TLI Transport and Logistics Training Package.</w:t>
            </w:r>
          </w:p>
        </w:tc>
      </w:tr>
    </w:tbl>
    <w:p w:rsidR="00000000" w:rsidRPr="00BA4F96" w:rsidP="00BA4F96">
      <w:pPr>
        <w:pStyle w:val="NoPaddingFontSize1"/>
      </w:pPr>
    </w:p>
    <w:p w:rsidR="00000000" w:rsidRPr="00BA4F96" w:rsidP="00BA4F96">
      <w:pPr>
        <w:pStyle w:val="AllowPageBreak"/>
      </w:pPr>
    </w:p>
    <w:p w:rsidR="00000000" w:rsidRPr="00BA4F96" w:rsidP="00BA4F96">
      <w:pPr>
        <w:pStyle w:val="Heading1"/>
      </w:pPr>
      <w:bookmarkStart w:id="2" w:name="O_1121152"/>
      <w:bookmarkEnd w:id="2"/>
      <w:r w:rsidRPr="00BA4F9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4F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F96" w:rsidP="00BA4F96">
            <w:pPr>
              <w:pStyle w:val="BodyText"/>
            </w:pPr>
            <w:r w:rsidRPr="00BA4F96">
              <w:t>This unit involves the skills and knowledge required to</w:t>
            </w:r>
            <w:r w:rsidRPr="00BA4F96">
              <w:t xml:space="preserve"> identify the principles of dynamic track stabaliser operations.</w:t>
            </w:r>
          </w:p>
          <w:p w:rsidR="00000000" w:rsidRPr="00BA4F96" w:rsidP="00BA4F96">
            <w:pPr>
              <w:pStyle w:val="BodyText"/>
            </w:pPr>
            <w:r w:rsidRPr="00BA4F96">
              <w:t>It includes determining components and work station of dynamic track stabalisers, identifying dynamic track stabaliser functions, and identifying hazards and risks associated with dynamic tra</w:t>
            </w:r>
            <w:r w:rsidRPr="00BA4F96">
              <w:t>ck stabaliser operations.</w:t>
            </w:r>
          </w:p>
          <w:p w:rsidR="00000000" w:rsidRPr="00BA4F96" w:rsidP="00BA4F96">
            <w:pPr>
              <w:pStyle w:val="BodyText"/>
            </w:pPr>
            <w:r w:rsidRPr="00BA4F96">
              <w:t>The unit provides an introduction to dynamic track stabalisers and is not to be used for their operation, which must be covered by individual certification for the particular machine.</w:t>
            </w:r>
          </w:p>
          <w:p w:rsidR="00000000" w:rsidRPr="00BA4F96" w:rsidP="00BA4F96">
            <w:pPr>
              <w:pStyle w:val="BodyText"/>
            </w:pPr>
            <w:r w:rsidRPr="00BA4F96">
              <w:t>Components may include:</w:t>
            </w:r>
          </w:p>
          <w:p w:rsidR="00000000" w:rsidRPr="00BA4F96" w:rsidP="00BA4F96">
            <w:pPr>
              <w:pStyle w:val="ListBullet"/>
            </w:pPr>
            <w:r w:rsidRPr="00BA4F96">
              <w:t>chart recorders</w:t>
            </w:r>
          </w:p>
          <w:p w:rsidR="00000000" w:rsidRPr="00BA4F96" w:rsidP="00BA4F96">
            <w:pPr>
              <w:pStyle w:val="ListBullet"/>
            </w:pPr>
            <w:r w:rsidRPr="00BA4F96">
              <w:t>clamps</w:t>
            </w:r>
          </w:p>
          <w:p w:rsidR="00000000" w:rsidRPr="00BA4F96" w:rsidP="00BA4F96">
            <w:pPr>
              <w:pStyle w:val="ListBullet"/>
            </w:pPr>
            <w:r w:rsidRPr="00BA4F96">
              <w:t>lifting and lining systems</w:t>
            </w:r>
          </w:p>
          <w:p w:rsidR="00000000" w:rsidRPr="00BA4F96" w:rsidP="00BA4F96">
            <w:pPr>
              <w:pStyle w:val="ListBullet"/>
            </w:pPr>
            <w:r w:rsidRPr="00BA4F96">
              <w:t>ploughs</w:t>
            </w:r>
          </w:p>
          <w:p w:rsidR="00000000" w:rsidRPr="00BA4F96" w:rsidP="00BA4F96">
            <w:pPr>
              <w:pStyle w:val="ListBullet"/>
            </w:pPr>
            <w:r w:rsidRPr="00BA4F96">
              <w:t>stabaliser unit</w:t>
            </w:r>
          </w:p>
          <w:p w:rsidR="00000000" w:rsidRPr="00BA4F96" w:rsidP="00BA4F96">
            <w:pPr>
              <w:pStyle w:val="ListBullet"/>
            </w:pPr>
            <w:r w:rsidRPr="00BA4F96">
              <w:t>trolleys.</w:t>
            </w:r>
          </w:p>
          <w:p w:rsidR="00000000" w:rsidRPr="00BA4F96" w:rsidP="00BA4F96">
            <w:pPr>
              <w:pStyle w:val="BodyText"/>
            </w:pPr>
            <w:r w:rsidRPr="00BA4F96">
              <w:t>Work stations may include:</w:t>
            </w:r>
          </w:p>
          <w:p w:rsidR="00000000" w:rsidRPr="00BA4F96" w:rsidP="00BA4F96">
            <w:pPr>
              <w:pStyle w:val="ListBullet"/>
            </w:pPr>
            <w:r w:rsidRPr="00BA4F96">
              <w:t>data input</w:t>
            </w:r>
          </w:p>
          <w:p w:rsidR="00000000" w:rsidRPr="00BA4F96" w:rsidP="00BA4F96">
            <w:pPr>
              <w:pStyle w:val="ListBullet"/>
            </w:pPr>
            <w:r w:rsidRPr="00BA4F96">
              <w:t>drive station</w:t>
            </w:r>
          </w:p>
          <w:p w:rsidR="00000000" w:rsidRPr="00BA4F96" w:rsidP="00BA4F96">
            <w:pPr>
              <w:pStyle w:val="ListBullet"/>
            </w:pPr>
            <w:r w:rsidRPr="00BA4F96">
              <w:t>external work station</w:t>
            </w:r>
          </w:p>
          <w:p w:rsidR="00000000" w:rsidRPr="00BA4F96" w:rsidP="00BA4F96">
            <w:pPr>
              <w:pStyle w:val="ListBullet"/>
            </w:pPr>
            <w:r w:rsidRPr="00BA4F96">
              <w:t>main operator station.</w:t>
            </w:r>
          </w:p>
          <w:p w:rsidR="00000000" w:rsidRPr="00BA4F96" w:rsidP="00BA4F96">
            <w:pPr>
              <w:pStyle w:val="BodyText"/>
            </w:pPr>
            <w:r w:rsidRPr="00BA4F96">
              <w:t>Operators of dynamic track stabalisers must have undertaken training and hold the relevant</w:t>
            </w:r>
            <w:r w:rsidRPr="00BA4F96">
              <w:t xml:space="preserve"> licence, permit or certificate and be recognised as competent for each type of machinery being used.</w:t>
            </w:r>
          </w:p>
          <w:p w:rsidR="00000000" w:rsidRPr="00BA4F96" w:rsidP="00BA4F96">
            <w:pPr>
              <w:pStyle w:val="BodyText"/>
            </w:pPr>
            <w:r w:rsidRPr="00BA4F96">
              <w:t>No licensing, legislative or certification requirements apply to this unit at the time of publication.</w:t>
            </w:r>
          </w:p>
        </w:tc>
      </w:tr>
    </w:tbl>
    <w:p w:rsidR="00000000" w:rsidRPr="00BA4F96" w:rsidP="00BA4F96">
      <w:pPr>
        <w:pStyle w:val="NoPaddingFontSize1"/>
      </w:pPr>
    </w:p>
    <w:p w:rsidR="00000000" w:rsidRPr="00BA4F96" w:rsidP="00BA4F96">
      <w:pPr>
        <w:pStyle w:val="AllowPageBreak"/>
      </w:pPr>
    </w:p>
    <w:p w:rsidR="00000000" w:rsidRPr="00BA4F96" w:rsidP="00BA4F96">
      <w:pPr>
        <w:pStyle w:val="Heading1"/>
      </w:pPr>
      <w:bookmarkStart w:id="3" w:name="O_1121151"/>
      <w:bookmarkEnd w:id="3"/>
      <w:r w:rsidRPr="00BA4F9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4F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F96" w:rsidP="00BA4F96">
            <w:pPr>
              <w:pStyle w:val="BodyText"/>
            </w:pPr>
            <w:r w:rsidRPr="00BA4F96">
              <w:t>Not applicable.</w:t>
            </w:r>
          </w:p>
        </w:tc>
      </w:tr>
    </w:tbl>
    <w:p w:rsidR="00000000" w:rsidRPr="00BA4F96" w:rsidP="00BA4F96">
      <w:pPr>
        <w:pStyle w:val="NoPaddingFontSize1"/>
      </w:pPr>
    </w:p>
    <w:p w:rsidR="00000000" w:rsidRPr="00BA4F96" w:rsidP="00BA4F96">
      <w:pPr>
        <w:pStyle w:val="AllowPageBreak"/>
      </w:pPr>
    </w:p>
    <w:p w:rsidR="00000000" w:rsidRPr="00BA4F96" w:rsidP="00BA4F96">
      <w:pPr>
        <w:pStyle w:val="Heading1"/>
      </w:pPr>
      <w:bookmarkStart w:id="4" w:name="O_1121150"/>
      <w:bookmarkEnd w:id="4"/>
      <w:r w:rsidRPr="00BA4F9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4F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F96" w:rsidP="00BA4F96">
            <w:pPr>
              <w:pStyle w:val="BodyText"/>
            </w:pPr>
            <w:r w:rsidRPr="00BA4F96">
              <w:t>W – Equipment and Systems Operations</w:t>
            </w:r>
          </w:p>
        </w:tc>
      </w:tr>
    </w:tbl>
    <w:p w:rsidR="00000000" w:rsidRPr="00BA4F96" w:rsidP="00BA4F96">
      <w:pPr>
        <w:pStyle w:val="NoPaddingFontSize1"/>
      </w:pPr>
    </w:p>
    <w:p w:rsidR="00000000" w:rsidRPr="00BA4F96" w:rsidP="00BA4F96">
      <w:pPr>
        <w:pStyle w:val="AllowPageBreak"/>
      </w:pPr>
    </w:p>
    <w:p w:rsidR="00000000" w:rsidRPr="00BA4F96" w:rsidP="00BA4F96">
      <w:pPr>
        <w:pStyle w:val="Heading1"/>
      </w:pPr>
      <w:bookmarkStart w:id="5" w:name="O_1121149"/>
      <w:bookmarkEnd w:id="5"/>
      <w:r w:rsidRPr="00BA4F9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4F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F96" w:rsidP="00BA4F96">
            <w:pPr>
              <w:pStyle w:val="BodyText"/>
            </w:pPr>
            <w:r w:rsidRPr="00BA4F96">
              <w:t>Rail sector.</w:t>
            </w:r>
          </w:p>
        </w:tc>
      </w:tr>
    </w:tbl>
    <w:p w:rsidR="00000000" w:rsidRPr="00BA4F96" w:rsidP="00BA4F96">
      <w:pPr>
        <w:pStyle w:val="NoPaddingFontSize1"/>
      </w:pPr>
    </w:p>
    <w:p w:rsidR="00000000" w:rsidRPr="00BA4F96" w:rsidP="00BA4F96">
      <w:pPr>
        <w:pStyle w:val="AllowPageBreak"/>
      </w:pPr>
    </w:p>
    <w:p w:rsidR="00000000" w:rsidRPr="00BA4F96" w:rsidP="00BA4F96">
      <w:pPr>
        <w:pStyle w:val="Heading1"/>
      </w:pPr>
      <w:bookmarkStart w:id="6" w:name="O_1121148"/>
      <w:bookmarkEnd w:id="6"/>
      <w:r w:rsidRPr="00BA4F9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A4F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F96" w:rsidP="00BA4F96">
            <w:pPr>
              <w:pStyle w:val="BodyText"/>
            </w:pPr>
            <w:r w:rsidRPr="00BA4F9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96">
            <w:pPr>
              <w:pStyle w:val="BodyText"/>
              <w:rPr>
                <w:lang w:val="en-NZ"/>
              </w:rPr>
            </w:pPr>
            <w:r w:rsidRPr="00BA4F96">
              <w:rPr>
                <w:rStyle w:val="SpecialBold"/>
              </w:rPr>
              <w:t>PERFORMANCE CRITERIA</w:t>
            </w:r>
          </w:p>
        </w:tc>
      </w:tr>
      <w:tr w:rsidTr="00BA4F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96">
            <w:pPr>
              <w:pStyle w:val="BodyText"/>
              <w:rPr>
                <w:lang w:val="en-NZ"/>
              </w:rPr>
            </w:pPr>
            <w:r w:rsidRPr="00BA4F9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96">
            <w:pPr>
              <w:pStyle w:val="BodyText"/>
              <w:rPr>
                <w:lang w:val="en-NZ"/>
              </w:rPr>
            </w:pPr>
            <w:r w:rsidRPr="00BA4F96">
              <w:t>Performance criteria describe the performance needed to demonstrate achievement of the element.</w:t>
            </w:r>
          </w:p>
        </w:tc>
      </w:tr>
      <w:tr w:rsidTr="00BA4F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F96" w:rsidP="00BA4F96">
            <w:pPr>
              <w:pStyle w:val="BodyText"/>
            </w:pPr>
            <w:r w:rsidRPr="00BA4F9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F96" w:rsidP="00BA4F96">
            <w:pPr>
              <w:pStyle w:val="BodyText"/>
            </w:pPr>
            <w:r w:rsidRPr="00BA4F96">
              <w:rPr>
                <w:rStyle w:val="SpecialBold"/>
              </w:rPr>
              <w:t>Determine components and work stations of dynamic track stabalisers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96">
            <w:pPr>
              <w:pStyle w:val="BodyText"/>
              <w:rPr>
                <w:lang w:val="en-NZ"/>
              </w:rPr>
            </w:pPr>
            <w:r w:rsidRPr="00BA4F9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96">
            <w:pPr>
              <w:pStyle w:val="BodyText"/>
              <w:rPr>
                <w:lang w:val="en-NZ"/>
              </w:rPr>
            </w:pPr>
            <w:r w:rsidRPr="00BA4F96">
              <w:t xml:space="preserve">Dynamic track stabaliser components and </w:t>
            </w:r>
            <w:r w:rsidRPr="00BA4F96">
              <w:t>individual work stations are identified</w:t>
            </w:r>
          </w:p>
        </w:tc>
      </w:tr>
      <w:tr w:rsidTr="00BA4F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F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96">
            <w:pPr>
              <w:pStyle w:val="BodyText"/>
              <w:rPr>
                <w:lang w:val="en-NZ"/>
              </w:rPr>
            </w:pPr>
            <w:r w:rsidRPr="00BA4F9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96">
            <w:pPr>
              <w:pStyle w:val="BodyText"/>
              <w:rPr>
                <w:lang w:val="en-NZ"/>
              </w:rPr>
            </w:pPr>
            <w:r w:rsidRPr="00BA4F96">
              <w:t>Purpose of the identified components and individual work stations is explained</w:t>
            </w:r>
          </w:p>
        </w:tc>
      </w:tr>
      <w:tr w:rsidTr="00BA4F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F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96">
            <w:pPr>
              <w:pStyle w:val="BodyText"/>
              <w:rPr>
                <w:lang w:val="en-NZ"/>
              </w:rPr>
            </w:pPr>
            <w:r w:rsidRPr="00BA4F9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96">
            <w:pPr>
              <w:pStyle w:val="BodyText"/>
              <w:rPr>
                <w:lang w:val="en-NZ"/>
              </w:rPr>
            </w:pPr>
            <w:r w:rsidRPr="00BA4F96">
              <w:t>Associated hazards of each component and appropriate control methods for each are identified</w:t>
            </w:r>
          </w:p>
        </w:tc>
      </w:tr>
      <w:tr w:rsidTr="00BA4F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F96" w:rsidP="00BA4F96">
            <w:pPr>
              <w:pStyle w:val="BodyText"/>
            </w:pPr>
            <w:r w:rsidRPr="00BA4F9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F96" w:rsidP="00BA4F96">
            <w:pPr>
              <w:pStyle w:val="BodyText"/>
            </w:pPr>
            <w:r w:rsidRPr="00BA4F96">
              <w:rPr>
                <w:rStyle w:val="SpecialBold"/>
              </w:rPr>
              <w:t>Identify dynamic track stabaliser functions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96">
            <w:pPr>
              <w:pStyle w:val="BodyText"/>
              <w:rPr>
                <w:lang w:val="en-NZ"/>
              </w:rPr>
            </w:pPr>
            <w:r w:rsidRPr="00BA4F9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96">
            <w:pPr>
              <w:pStyle w:val="BodyText"/>
              <w:rPr>
                <w:lang w:val="en-NZ"/>
              </w:rPr>
            </w:pPr>
            <w:r w:rsidRPr="00BA4F96">
              <w:t>Purposes of the dynamic track stabaliser are identified</w:t>
            </w:r>
          </w:p>
        </w:tc>
      </w:tr>
      <w:tr w:rsidTr="00BA4F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F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96">
            <w:pPr>
              <w:pStyle w:val="BodyText"/>
              <w:rPr>
                <w:lang w:val="en-NZ"/>
              </w:rPr>
            </w:pPr>
            <w:r w:rsidRPr="00BA4F9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96">
            <w:pPr>
              <w:pStyle w:val="BodyText"/>
              <w:rPr>
                <w:lang w:val="en-NZ"/>
              </w:rPr>
            </w:pPr>
            <w:r w:rsidRPr="00BA4F96">
              <w:t>Methods by which the dynamic track stabaliser consolidates the ballast to meet network owner’s rail industry standards are identified</w:t>
            </w:r>
          </w:p>
        </w:tc>
      </w:tr>
      <w:tr w:rsidTr="00BA4F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F96" w:rsidP="00BA4F96">
            <w:pPr>
              <w:pStyle w:val="BodyText"/>
            </w:pPr>
            <w:r w:rsidRPr="00BA4F9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F96" w:rsidP="00BA4F96">
            <w:pPr>
              <w:pStyle w:val="BodyText"/>
            </w:pPr>
            <w:r w:rsidRPr="00BA4F96">
              <w:rPr>
                <w:rStyle w:val="SpecialBold"/>
              </w:rPr>
              <w:t>Identify</w:t>
            </w:r>
            <w:r w:rsidRPr="00BA4F96">
              <w:rPr>
                <w:rStyle w:val="SpecialBold"/>
              </w:rPr>
              <w:t xml:space="preserve"> hazards and risks associated with dynamic track stabaliser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96">
            <w:pPr>
              <w:pStyle w:val="BodyText"/>
              <w:rPr>
                <w:lang w:val="en-NZ"/>
              </w:rPr>
            </w:pPr>
            <w:r w:rsidRPr="00BA4F9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96">
            <w:pPr>
              <w:pStyle w:val="BodyText"/>
              <w:rPr>
                <w:lang w:val="en-NZ"/>
              </w:rPr>
            </w:pPr>
            <w:r w:rsidRPr="00BA4F96">
              <w:t>Environmental hazards are identified</w:t>
            </w:r>
          </w:p>
        </w:tc>
      </w:tr>
      <w:tr w:rsidTr="00BA4F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F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F96">
            <w:pPr>
              <w:pStyle w:val="BodyText"/>
              <w:rPr>
                <w:lang w:val="en-NZ"/>
              </w:rPr>
            </w:pPr>
            <w:r w:rsidRPr="00BA4F9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F96" w:rsidP="00BA4F96">
            <w:pPr>
              <w:pStyle w:val="BodyText"/>
            </w:pPr>
            <w:r w:rsidRPr="00BA4F96">
              <w:t>Potential risks to the rail infrastructure are identified</w:t>
            </w:r>
          </w:p>
        </w:tc>
      </w:tr>
    </w:tbl>
    <w:p w:rsidR="00000000" w:rsidRPr="00BA4F96" w:rsidP="00BA4F96">
      <w:pPr>
        <w:pStyle w:val="NoPaddingFontSize1"/>
      </w:pPr>
    </w:p>
    <w:p w:rsidR="00000000" w:rsidRPr="00BA4F96" w:rsidP="00BA4F96">
      <w:pPr>
        <w:pStyle w:val="AllowPageBreak"/>
      </w:pPr>
    </w:p>
    <w:p w:rsidR="00000000" w:rsidRPr="00BA4F96" w:rsidP="00BA4F96">
      <w:pPr>
        <w:pStyle w:val="Heading1"/>
      </w:pPr>
      <w:bookmarkStart w:id="7" w:name="O_1121147"/>
      <w:bookmarkEnd w:id="7"/>
      <w:r w:rsidRPr="00BA4F9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4F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F96" w:rsidP="00BA4F96">
            <w:pPr>
              <w:pStyle w:val="BodyText"/>
            </w:pPr>
            <w:r w:rsidRPr="00BA4F96">
              <w:t>Foundation skills essential to performance are explicit in the performance criteria of this unit of competency.</w:t>
            </w:r>
          </w:p>
        </w:tc>
      </w:tr>
    </w:tbl>
    <w:p w:rsidR="00000000" w:rsidRPr="00BA4F96" w:rsidP="00BA4F96">
      <w:pPr>
        <w:pStyle w:val="NoPaddingFontSize1"/>
      </w:pPr>
    </w:p>
    <w:p w:rsidR="00000000" w:rsidRPr="00BA4F96" w:rsidP="00BA4F96">
      <w:pPr>
        <w:pStyle w:val="AllowPageBreak"/>
      </w:pPr>
    </w:p>
    <w:p w:rsidR="00000000" w:rsidRPr="00BA4F96" w:rsidP="00BA4F96">
      <w:pPr>
        <w:pStyle w:val="Heading1"/>
      </w:pPr>
      <w:bookmarkStart w:id="8" w:name="O_1121146"/>
      <w:bookmarkEnd w:id="8"/>
      <w:r w:rsidRPr="00BA4F9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4F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F96" w:rsidP="00BA4F96">
            <w:pPr>
              <w:pStyle w:val="BodyText"/>
            </w:pPr>
            <w:r w:rsidRPr="00BA4F96">
              <w:t>Range is restricted to essential operating conditions and any other variables essential to the work env</w:t>
            </w:r>
            <w:r w:rsidRPr="00BA4F96">
              <w:t>ironment.</w:t>
            </w:r>
          </w:p>
        </w:tc>
      </w:tr>
    </w:tbl>
    <w:p w:rsidR="00000000" w:rsidRPr="00BA4F96" w:rsidP="00BA4F96">
      <w:pPr>
        <w:pStyle w:val="NoPaddingFontSize1"/>
      </w:pPr>
    </w:p>
    <w:p w:rsidR="00000000" w:rsidRPr="00BA4F96" w:rsidP="00BA4F96">
      <w:pPr>
        <w:pStyle w:val="AllowPageBreak"/>
      </w:pPr>
    </w:p>
    <w:p w:rsidR="00000000" w:rsidRPr="00BA4F96" w:rsidP="00BA4F96">
      <w:pPr>
        <w:pStyle w:val="Heading1"/>
      </w:pPr>
      <w:bookmarkStart w:id="9" w:name="O_1121145"/>
      <w:bookmarkEnd w:id="9"/>
      <w:r w:rsidRPr="00BA4F9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4F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F96" w:rsidP="00BA4F96">
            <w:pPr>
              <w:pStyle w:val="BodyText"/>
            </w:pPr>
            <w:r w:rsidRPr="00BA4F96">
              <w:t>This unit replaces and is equivalent to TLIW2030A Identify the principles of dynamic track stabaliser operations.</w:t>
            </w:r>
          </w:p>
        </w:tc>
      </w:tr>
    </w:tbl>
    <w:p w:rsidR="00000000" w:rsidRPr="00BA4F96" w:rsidP="00BA4F96">
      <w:pPr>
        <w:pStyle w:val="NoPaddingFontSize1"/>
      </w:pPr>
    </w:p>
    <w:p w:rsidR="00000000" w:rsidRPr="00BA4F96" w:rsidP="00BA4F96">
      <w:pPr>
        <w:pStyle w:val="AllowPageBreak"/>
      </w:pPr>
    </w:p>
    <w:p w:rsidR="00000000" w:rsidRPr="00BA4F96" w:rsidP="00BA4F96">
      <w:pPr>
        <w:pStyle w:val="Heading1"/>
      </w:pPr>
      <w:bookmarkStart w:id="10" w:name="O_1121154"/>
      <w:bookmarkEnd w:id="10"/>
      <w:r w:rsidRPr="00BA4F96">
        <w:t>Links</w:t>
      </w:r>
    </w:p>
    <w:p w:rsidR="00000000" w:rsidRPr="00BA4F96" w:rsidP="003040A4">
      <w:pPr>
        <w:pStyle w:val="BodyText"/>
      </w:pPr>
      <w:r w:rsidRPr="00BA4F96">
        <w:t>Co</w:t>
      </w:r>
      <w:r w:rsidRPr="00BA4F96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805F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A4F96" w:rsidP="00BA4F96"/>
    <w:sectPr w:rsidSect="00BA4F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F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F96" w:rsidRPr="003040A4" w:rsidP="003040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F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0A4" w:rsidP="00BA4F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40A4" w:rsidP="00BA4F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040A4" w:rsidP="00BA4F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F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0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4F96" w:rsidRPr="003040A4" w:rsidP="003040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F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0A4" w:rsidRPr="002D2AF8" w:rsidP="00BA4F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TLIW2030 Identify the principles of dynamic track stabaliser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040A4" w:rsidP="00BA4F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6822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8CA7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F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4F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4F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4F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4F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4F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4F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4F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4F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4F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4F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4F96"/>
  </w:style>
  <w:style w:type="character" w:customStyle="1" w:styleId="Heading1Char">
    <w:name w:val="Heading 1 Char"/>
    <w:basedOn w:val="DefaultParagraphFont"/>
    <w:link w:val="Heading1"/>
    <w:rsid w:val="00BA4F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4F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4F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4F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4F96"/>
    <w:rPr>
      <w:b/>
      <w:spacing w:val="0"/>
    </w:rPr>
  </w:style>
  <w:style w:type="paragraph" w:customStyle="1" w:styleId="SuperHeading">
    <w:name w:val="SuperHeading"/>
    <w:basedOn w:val="Normal"/>
    <w:rsid w:val="00BA4F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4F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A4F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4F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4F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4F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4F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4F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4F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4F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4F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4F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4F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4F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4F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4F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4F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4F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4F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4F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4F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4F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4F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4F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4F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4F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4F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4F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4F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4F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4F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4F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4F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4F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4F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4F96"/>
    <w:rPr>
      <w:i/>
    </w:rPr>
  </w:style>
  <w:style w:type="paragraph" w:styleId="Caption">
    <w:name w:val="caption"/>
    <w:basedOn w:val="BodyText"/>
    <w:next w:val="Normal"/>
    <w:qFormat/>
    <w:rsid w:val="00BA4F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4F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4F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4F96"/>
  </w:style>
  <w:style w:type="paragraph" w:styleId="TableofFigures">
    <w:name w:val="table of figures"/>
    <w:basedOn w:val="Normal"/>
    <w:next w:val="Normal"/>
    <w:semiHidden/>
    <w:rsid w:val="00BA4F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4F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4F96"/>
    <w:rPr>
      <w:rFonts w:ascii="Wingdings" w:hAnsi="Wingdings"/>
    </w:rPr>
  </w:style>
  <w:style w:type="paragraph" w:customStyle="1" w:styleId="TableHeading">
    <w:name w:val="Table Heading"/>
    <w:basedOn w:val="HeadingBase"/>
    <w:rsid w:val="00BA4F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4F96"/>
    <w:rPr>
      <w:color w:val="0033CC"/>
      <w:u w:val="none"/>
    </w:rPr>
  </w:style>
  <w:style w:type="paragraph" w:customStyle="1" w:styleId="BodyTextRight">
    <w:name w:val="Body Text Right"/>
    <w:basedOn w:val="BodyText"/>
    <w:rsid w:val="00BA4F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4F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4F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4F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4F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4F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4F96"/>
    <w:rPr>
      <w:sz w:val="32"/>
    </w:rPr>
  </w:style>
  <w:style w:type="paragraph" w:customStyle="1" w:styleId="HeadingProcedure">
    <w:name w:val="Heading Procedure"/>
    <w:basedOn w:val="HeadingBase"/>
    <w:next w:val="Normal"/>
    <w:rsid w:val="00BA4F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4F96"/>
    <w:pPr>
      <w:spacing w:before="60" w:after="60"/>
    </w:pPr>
  </w:style>
  <w:style w:type="paragraph" w:styleId="ListContinue">
    <w:name w:val="List Continue"/>
    <w:basedOn w:val="List"/>
    <w:rsid w:val="00BA4F96"/>
    <w:pPr>
      <w:ind w:firstLine="0"/>
    </w:pPr>
  </w:style>
  <w:style w:type="paragraph" w:customStyle="1" w:styleId="ListNote">
    <w:name w:val="List Note"/>
    <w:basedOn w:val="List"/>
    <w:rsid w:val="00BA4F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4F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4F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4F96"/>
    <w:rPr>
      <w:rFonts w:ascii="Courier New" w:hAnsi="Courier New"/>
    </w:rPr>
  </w:style>
  <w:style w:type="paragraph" w:customStyle="1" w:styleId="NoteBullet">
    <w:name w:val="Note Bullet"/>
    <w:basedOn w:val="Note"/>
    <w:rsid w:val="00BA4F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4F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4F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4F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4F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4F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4F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4F96"/>
    <w:rPr>
      <w:b/>
      <w:smallCaps/>
    </w:rPr>
  </w:style>
  <w:style w:type="paragraph" w:customStyle="1" w:styleId="TableListNumber">
    <w:name w:val="Table List Number"/>
    <w:basedOn w:val="ListNumber"/>
    <w:rsid w:val="00BA4F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4F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4F96"/>
    <w:pPr>
      <w:numPr>
        <w:numId w:val="8"/>
      </w:numPr>
    </w:pPr>
  </w:style>
  <w:style w:type="paragraph" w:customStyle="1" w:styleId="ListAlpha2">
    <w:name w:val="List Alpha 2"/>
    <w:basedOn w:val="List2"/>
    <w:rsid w:val="00BA4F96"/>
    <w:pPr>
      <w:numPr>
        <w:numId w:val="7"/>
      </w:numPr>
    </w:pPr>
  </w:style>
  <w:style w:type="paragraph" w:styleId="List2">
    <w:name w:val="List 2"/>
    <w:basedOn w:val="BodyText"/>
    <w:rsid w:val="00BA4F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4F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4F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4F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4F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4F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4F96"/>
    <w:pPr>
      <w:numPr>
        <w:numId w:val="3"/>
      </w:numPr>
    </w:pPr>
  </w:style>
  <w:style w:type="paragraph" w:styleId="ListContinue2">
    <w:name w:val="List Continue 2"/>
    <w:basedOn w:val="List2"/>
    <w:rsid w:val="00BA4F96"/>
    <w:pPr>
      <w:ind w:firstLine="0"/>
    </w:pPr>
  </w:style>
  <w:style w:type="paragraph" w:styleId="ListContinue3">
    <w:name w:val="List Continue 3"/>
    <w:basedOn w:val="List3"/>
    <w:rsid w:val="00BA4F96"/>
    <w:pPr>
      <w:ind w:left="1021" w:firstLine="0"/>
    </w:pPr>
  </w:style>
  <w:style w:type="paragraph" w:styleId="ListContinue4">
    <w:name w:val="List Continue 4"/>
    <w:basedOn w:val="List4"/>
    <w:rsid w:val="00BA4F96"/>
    <w:pPr>
      <w:ind w:firstLine="0"/>
    </w:pPr>
  </w:style>
  <w:style w:type="paragraph" w:styleId="ListContinue5">
    <w:name w:val="List Continue 5"/>
    <w:basedOn w:val="List5"/>
    <w:rsid w:val="00BA4F96"/>
    <w:pPr>
      <w:ind w:firstLine="0"/>
    </w:pPr>
  </w:style>
  <w:style w:type="paragraph" w:styleId="ListNumber3">
    <w:name w:val="List Number 3"/>
    <w:basedOn w:val="List3"/>
    <w:rsid w:val="00BA4F96"/>
    <w:pPr>
      <w:numPr>
        <w:numId w:val="4"/>
      </w:numPr>
    </w:pPr>
  </w:style>
  <w:style w:type="paragraph" w:styleId="ListNumber4">
    <w:name w:val="List Number 4"/>
    <w:basedOn w:val="List4"/>
    <w:rsid w:val="00BA4F96"/>
    <w:pPr>
      <w:numPr>
        <w:numId w:val="5"/>
      </w:numPr>
    </w:pPr>
  </w:style>
  <w:style w:type="paragraph" w:styleId="ListNumber5">
    <w:name w:val="List Number 5"/>
    <w:basedOn w:val="List5"/>
    <w:rsid w:val="00BA4F96"/>
    <w:pPr>
      <w:numPr>
        <w:numId w:val="6"/>
      </w:numPr>
    </w:pPr>
  </w:style>
  <w:style w:type="paragraph" w:styleId="BlockText">
    <w:name w:val="Block Text"/>
    <w:basedOn w:val="Normal"/>
    <w:rsid w:val="00BA4F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4F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4F96"/>
    <w:rPr>
      <w:sz w:val="16"/>
      <w:vertAlign w:val="superscript"/>
    </w:rPr>
  </w:style>
  <w:style w:type="character" w:customStyle="1" w:styleId="Symbols">
    <w:name w:val="Symbols"/>
    <w:basedOn w:val="DefaultParagraphFont"/>
    <w:rsid w:val="00BA4F96"/>
    <w:rPr>
      <w:rFonts w:ascii="Symbol" w:hAnsi="Symbol"/>
    </w:rPr>
  </w:style>
  <w:style w:type="character" w:customStyle="1" w:styleId="MenuOptions">
    <w:name w:val="Menu Options"/>
    <w:basedOn w:val="DefaultParagraphFont"/>
    <w:rsid w:val="00BA4F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4F96"/>
    <w:rPr>
      <w:b/>
    </w:rPr>
  </w:style>
  <w:style w:type="character" w:customStyle="1" w:styleId="Underlined">
    <w:name w:val="Underlined"/>
    <w:basedOn w:val="DefaultParagraphFont"/>
    <w:rsid w:val="00BA4F96"/>
    <w:rPr>
      <w:u w:val="single"/>
    </w:rPr>
  </w:style>
  <w:style w:type="paragraph" w:customStyle="1" w:styleId="TableBodyTextRight">
    <w:name w:val="Table Body Text Right"/>
    <w:basedOn w:val="TableBodyText"/>
    <w:rsid w:val="00BA4F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4F96"/>
    <w:rPr>
      <w:sz w:val="18"/>
    </w:rPr>
  </w:style>
  <w:style w:type="paragraph" w:customStyle="1" w:styleId="BodySmallRight">
    <w:name w:val="Body Small Right"/>
    <w:basedOn w:val="BodyTextRight"/>
    <w:rsid w:val="00BA4F96"/>
    <w:rPr>
      <w:sz w:val="18"/>
      <w:szCs w:val="18"/>
    </w:rPr>
  </w:style>
  <w:style w:type="paragraph" w:customStyle="1" w:styleId="MarginEdition">
    <w:name w:val="Margin Edition"/>
    <w:basedOn w:val="MarginNote"/>
    <w:rsid w:val="00BA4F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4F96"/>
    <w:rPr>
      <w:sz w:val="2"/>
      <w:szCs w:val="2"/>
    </w:rPr>
  </w:style>
  <w:style w:type="character" w:customStyle="1" w:styleId="Small">
    <w:name w:val="Small"/>
    <w:basedOn w:val="DefaultParagraphFont"/>
    <w:rsid w:val="00BA4F96"/>
    <w:rPr>
      <w:sz w:val="16"/>
    </w:rPr>
  </w:style>
  <w:style w:type="paragraph" w:customStyle="1" w:styleId="WideTable">
    <w:name w:val="Wide Table"/>
    <w:basedOn w:val="Normal"/>
    <w:rsid w:val="00BA4F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4F96"/>
  </w:style>
  <w:style w:type="paragraph" w:styleId="Quote">
    <w:name w:val="Quote"/>
    <w:basedOn w:val="Heading1"/>
    <w:link w:val="QuoteChar"/>
    <w:qFormat/>
    <w:rsid w:val="00BA4F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4F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4F96"/>
    <w:pPr>
      <w:pageBreakBefore/>
    </w:pPr>
  </w:style>
  <w:style w:type="paragraph" w:customStyle="1" w:styleId="Border">
    <w:name w:val="Border"/>
    <w:basedOn w:val="Normal"/>
    <w:qFormat/>
    <w:rsid w:val="00BA4F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4F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F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F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4F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4F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4F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4F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4F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4F96"/>
    <w:rPr>
      <w:u w:val="single"/>
    </w:rPr>
  </w:style>
  <w:style w:type="character" w:customStyle="1" w:styleId="BoldandItalics">
    <w:name w:val="Bold and Italics"/>
    <w:qFormat/>
    <w:rsid w:val="00BA4F96"/>
    <w:rPr>
      <w:b/>
      <w:i/>
      <w:u w:val="none"/>
    </w:rPr>
  </w:style>
  <w:style w:type="paragraph" w:styleId="BalloonText">
    <w:name w:val="Balloon Text"/>
    <w:basedOn w:val="Normal"/>
    <w:link w:val="BalloonTextChar"/>
    <w:rsid w:val="00BA4F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4F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4F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4F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4F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4F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4F96"/>
    <w:pPr>
      <w:spacing w:before="0" w:after="0"/>
    </w:pPr>
  </w:style>
  <w:style w:type="paragraph" w:customStyle="1" w:styleId="BodyTextBold">
    <w:name w:val="Body Text Bold"/>
    <w:basedOn w:val="BodyText"/>
    <w:qFormat/>
    <w:rsid w:val="00BA4F96"/>
    <w:rPr>
      <w:b/>
    </w:rPr>
  </w:style>
  <w:style w:type="character" w:styleId="Hyperlink">
    <w:name w:val="Hyperlink"/>
    <w:basedOn w:val="DefaultParagraphFont"/>
    <w:uiPriority w:val="99"/>
    <w:unhideWhenUsed/>
    <w:rsid w:val="003040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455</Words>
  <Characters>2887</Characters>
  <Application>Microsoft Office Word</Application>
  <DocSecurity>0</DocSecurity>
  <Lines>131</Lines>
  <Paragraphs>77</Paragraphs>
  <ScaleCrop>false</ScaleCrop>
  <Company>Author-it Software Corporation Ltd.</Company>
  <LinksUpToDate>false</LinksUpToDate>
  <CharactersWithSpaces>3265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TLIW2030 Identify the principles of dynamic track stabaliser operations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2024-07-12T07:44:00Z</dcterms:created>
  <dcterms:modified xsi:type="dcterms:W3CDTF">2024-07-12T07:44:00Z</dcterms:modified>
</cp:coreProperties>
</file>