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E9F" w:rsidP="00612E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TLIW2030 Identify the principles of dynamic track stabaliser operations</w:t>
      </w:r>
      <w:r>
        <w:fldChar w:fldCharType="end"/>
      </w:r>
    </w:p>
    <w:p w:rsidR="00612E9F" w:rsidP="00612E9F">
      <w:pPr>
        <w:pStyle w:val="Version"/>
        <w:sectPr w:rsidSect="007D1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1BB1" w:rsidP="007D1BB1">
      <w:pPr>
        <w:pStyle w:val="SuperHeading"/>
      </w:pPr>
      <w:r w:rsidRPr="007D1BB1">
        <w:t>TLIW2030 Identify the principles of dynamic track stabaliser operations</w:t>
      </w:r>
    </w:p>
    <w:p w:rsidR="00000000" w:rsidRPr="007D1BB1" w:rsidP="007D1BB1">
      <w:pPr>
        <w:pStyle w:val="Heading1"/>
      </w:pPr>
      <w:bookmarkStart w:id="1" w:name="O_1121153"/>
      <w:bookmarkEnd w:id="1"/>
      <w:r w:rsidRPr="007D1B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Release 2</w:t>
            </w:r>
            <w:r w:rsidRPr="007D1BB1">
              <w:t>. This is the second release of this unit of competency in the TLI Transport and Logistics Training Package:</w:t>
            </w:r>
          </w:p>
          <w:p w:rsidR="00000000" w:rsidP="007D1BB1">
            <w:pPr>
              <w:pStyle w:val="ListBullet"/>
              <w:rPr>
                <w:lang w:val="en-NZ"/>
              </w:rPr>
            </w:pPr>
            <w:r w:rsidRPr="007D1BB1">
              <w:t>Minor statement ch</w:t>
            </w:r>
            <w:r w:rsidRPr="007D1BB1">
              <w:t>anges in Assessment Conditions.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Release 1</w:t>
            </w:r>
            <w:r w:rsidRPr="007D1BB1">
              <w:t>. This is the first release of this unit of competency in the TLI Transport and Logistics Training Package.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2" w:name="O_1121152"/>
      <w:bookmarkEnd w:id="2"/>
      <w:r w:rsidRPr="007D1B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This unit involves the skills and knowledge required to identify the prin</w:t>
            </w:r>
            <w:r w:rsidRPr="007D1BB1">
              <w:t>ciples of dynamic track stabaliser operations.</w:t>
            </w:r>
          </w:p>
          <w:p w:rsidR="00000000" w:rsidRPr="007D1BB1" w:rsidP="007D1BB1">
            <w:pPr>
              <w:pStyle w:val="BodyText"/>
            </w:pPr>
            <w:r w:rsidRPr="007D1BB1">
              <w:t>It includes determining components and work station of dynamic track stabalisers, identifying dynamic track stabaliser functions, and identifying hazards and risks associated with dynamic track stabaliser oper</w:t>
            </w:r>
            <w:r w:rsidRPr="007D1BB1">
              <w:t>ations.</w:t>
            </w:r>
          </w:p>
          <w:p w:rsidR="00000000" w:rsidRPr="007D1BB1" w:rsidP="007D1BB1">
            <w:pPr>
              <w:pStyle w:val="BodyText"/>
            </w:pPr>
            <w:r w:rsidRPr="007D1BB1">
              <w:t>The unit provides an introduction to dynamic track stabalisers and is not to be used for their operation, which must be covered by individual certification for the particular machine.</w:t>
            </w:r>
          </w:p>
          <w:p w:rsidR="00000000" w:rsidRPr="007D1BB1" w:rsidP="007D1BB1">
            <w:pPr>
              <w:pStyle w:val="BodyText"/>
            </w:pPr>
            <w:r w:rsidRPr="007D1BB1">
              <w:t>Components may include:</w:t>
            </w:r>
          </w:p>
          <w:p w:rsidR="00000000" w:rsidRPr="007D1BB1" w:rsidP="007D1BB1">
            <w:pPr>
              <w:pStyle w:val="ListBullet"/>
            </w:pPr>
            <w:r w:rsidRPr="007D1BB1">
              <w:t>chart recorders</w:t>
            </w:r>
          </w:p>
          <w:p w:rsidR="00000000" w:rsidRPr="007D1BB1" w:rsidP="007D1BB1">
            <w:pPr>
              <w:pStyle w:val="ListBullet"/>
            </w:pPr>
            <w:r w:rsidRPr="007D1BB1">
              <w:t>clamps</w:t>
            </w:r>
          </w:p>
          <w:p w:rsidR="00000000" w:rsidRPr="007D1BB1" w:rsidP="007D1BB1">
            <w:pPr>
              <w:pStyle w:val="ListBullet"/>
            </w:pPr>
            <w:r w:rsidRPr="007D1BB1">
              <w:t>lifting and lining systems</w:t>
            </w:r>
          </w:p>
          <w:p w:rsidR="00000000" w:rsidRPr="007D1BB1" w:rsidP="007D1BB1">
            <w:pPr>
              <w:pStyle w:val="ListBullet"/>
            </w:pPr>
            <w:r w:rsidRPr="007D1BB1">
              <w:t>ploughs</w:t>
            </w:r>
          </w:p>
          <w:p w:rsidR="00000000" w:rsidRPr="007D1BB1" w:rsidP="007D1BB1">
            <w:pPr>
              <w:pStyle w:val="ListBullet"/>
            </w:pPr>
            <w:r w:rsidRPr="007D1BB1">
              <w:t>stabaliser unit</w:t>
            </w:r>
          </w:p>
          <w:p w:rsidR="00000000" w:rsidRPr="007D1BB1" w:rsidP="007D1BB1">
            <w:pPr>
              <w:pStyle w:val="ListBullet"/>
            </w:pPr>
            <w:r w:rsidRPr="007D1BB1">
              <w:t>trolleys.</w:t>
            </w:r>
          </w:p>
          <w:p w:rsidR="00000000" w:rsidRPr="007D1BB1" w:rsidP="007D1BB1">
            <w:pPr>
              <w:pStyle w:val="BodyText"/>
            </w:pPr>
            <w:r w:rsidRPr="007D1BB1">
              <w:t>Work stations may include:</w:t>
            </w:r>
          </w:p>
          <w:p w:rsidR="00000000" w:rsidRPr="007D1BB1" w:rsidP="007D1BB1">
            <w:pPr>
              <w:pStyle w:val="ListBullet"/>
            </w:pPr>
            <w:r w:rsidRPr="007D1BB1">
              <w:t>data input</w:t>
            </w:r>
          </w:p>
          <w:p w:rsidR="00000000" w:rsidRPr="007D1BB1" w:rsidP="007D1BB1">
            <w:pPr>
              <w:pStyle w:val="ListBullet"/>
            </w:pPr>
            <w:r w:rsidRPr="007D1BB1">
              <w:t>drive station</w:t>
            </w:r>
          </w:p>
          <w:p w:rsidR="00000000" w:rsidRPr="007D1BB1" w:rsidP="007D1BB1">
            <w:pPr>
              <w:pStyle w:val="ListBullet"/>
            </w:pPr>
            <w:r w:rsidRPr="007D1BB1">
              <w:t>external work station</w:t>
            </w:r>
          </w:p>
          <w:p w:rsidR="00000000" w:rsidRPr="007D1BB1" w:rsidP="007D1BB1">
            <w:pPr>
              <w:pStyle w:val="ListBullet"/>
            </w:pPr>
            <w:r w:rsidRPr="007D1BB1">
              <w:t>main operator station.</w:t>
            </w:r>
          </w:p>
          <w:p w:rsidR="00000000" w:rsidRPr="007D1BB1" w:rsidP="007D1BB1">
            <w:pPr>
              <w:pStyle w:val="BodyText"/>
            </w:pPr>
            <w:r w:rsidRPr="007D1BB1">
              <w:t>Operators of dynamic track stabalisers must have undertaken training and hold the relevant licenc</w:t>
            </w:r>
            <w:r w:rsidRPr="007D1BB1">
              <w:t>e, permit or certificate and be recognised as competent for each type of machinery being used.</w:t>
            </w:r>
          </w:p>
          <w:p w:rsidR="00000000" w:rsidRPr="007D1BB1" w:rsidP="007D1BB1">
            <w:pPr>
              <w:pStyle w:val="BodyText"/>
            </w:pPr>
            <w:r w:rsidRPr="007D1BB1">
              <w:t>No licensing, legislative or certification requirements apply to this unit at the time of publication.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3" w:name="O_1121151"/>
      <w:bookmarkEnd w:id="3"/>
      <w:r w:rsidRPr="007D1B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Not applicable.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4" w:name="O_1121150"/>
      <w:bookmarkEnd w:id="4"/>
      <w:r w:rsidRPr="007D1B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W – Equipment and Systems Operations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5" w:name="O_1121149"/>
      <w:bookmarkEnd w:id="5"/>
      <w:r w:rsidRPr="007D1B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Rail sector.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6" w:name="O_1121148"/>
      <w:bookmarkEnd w:id="6"/>
      <w:r w:rsidRPr="007D1BB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rPr>
                <w:rStyle w:val="SpecialBold"/>
              </w:rPr>
              <w:t>PERFORMANCE CRITERIA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t>Performance criteria describe the performance needed to demonstrate achievement of the element.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Determine components and work stations of dynamic track stabalisers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t>Dynamic track stabaliser components and individual work stations are identified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t>Purpose of the identified components and individual work stations is explained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t>Associated hazards of each component and appropriate control methods for each are identified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Identify dynamic track stabaliser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t>Purposes of the dynamic track stabaliser are identified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t>Methods by which the dynamic track stabaliser consolidates the ballast to meet network owner’s rail industry standards are identified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Identify hazards and risks associated with dynamic track</w:t>
            </w:r>
            <w:r w:rsidRPr="007D1BB1">
              <w:rPr>
                <w:rStyle w:val="SpecialBold"/>
              </w:rPr>
              <w:t xml:space="preserve"> stabaliser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t>Environmental hazards are identified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BB1">
            <w:pPr>
              <w:pStyle w:val="BodyText"/>
              <w:rPr>
                <w:lang w:val="en-NZ"/>
              </w:rPr>
            </w:pPr>
            <w:r w:rsidRPr="007D1BB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Potential risks to the rail infrastructure are identified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7" w:name="O_1121147"/>
      <w:bookmarkEnd w:id="7"/>
      <w:r w:rsidRPr="007D1B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Foundation skills essential to performance are explicit in the performance criteria of this unit of competency.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8" w:name="O_1121146"/>
      <w:bookmarkEnd w:id="8"/>
      <w:r w:rsidRPr="007D1B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Range is restricted to essential operating conditions and any other variables essential to the work env</w:t>
            </w:r>
            <w:r w:rsidRPr="007D1BB1">
              <w:t>ironment.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9" w:name="O_1121145"/>
      <w:bookmarkEnd w:id="9"/>
      <w:r w:rsidRPr="007D1B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This unit replaces and is equivalent to TLIW2030A Identify the principles of dynamic track stabaliser operations.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10" w:name="O_1121154"/>
      <w:bookmarkEnd w:id="10"/>
      <w:r w:rsidRPr="007D1BB1">
        <w:t>Links</w:t>
      </w:r>
    </w:p>
    <w:p w:rsidR="00000000" w:rsidRPr="007D1BB1" w:rsidP="00612E9F">
      <w:pPr>
        <w:pStyle w:val="BodyText"/>
      </w:pPr>
      <w:r w:rsidRPr="007D1BB1">
        <w:t>Companion Volume Implementation Guides are found in</w:t>
      </w:r>
      <w:r w:rsidRPr="007D1BB1">
        <w:t xml:space="preserve">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07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D1BB1" w:rsidP="00612E9F">
      <w:pPr>
        <w:pStyle w:val="BodyText"/>
        <w:sectPr w:rsidSect="007D1B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1BB1" w:rsidP="007D1BB1">
      <w:pPr>
        <w:pStyle w:val="SuperHeading"/>
      </w:pPr>
      <w:r w:rsidRPr="007D1BB1">
        <w:t>Assessment Requirements for TLIW2030 Identify the principles of dynamic track stabaliser operations</w:t>
      </w:r>
    </w:p>
    <w:p w:rsidR="00000000" w:rsidRPr="007D1BB1" w:rsidP="007D1BB1">
      <w:pPr>
        <w:pStyle w:val="Heading1"/>
      </w:pPr>
      <w:bookmarkStart w:id="11" w:name="O_1121143"/>
      <w:bookmarkEnd w:id="11"/>
      <w:r w:rsidRPr="007D1B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Release 2</w:t>
            </w:r>
            <w:r w:rsidRPr="007D1BB1">
              <w:t>. This is the second release of this unit of competency in the TLI Transport and Logistics Training Package:</w:t>
            </w:r>
          </w:p>
          <w:p w:rsidR="00000000" w:rsidP="007D1BB1">
            <w:pPr>
              <w:pStyle w:val="ListBullet"/>
              <w:rPr>
                <w:lang w:val="en-NZ"/>
              </w:rPr>
            </w:pPr>
            <w:r w:rsidRPr="007D1BB1">
              <w:t>Minor statement changes in Assessment Conditions.</w:t>
            </w:r>
          </w:p>
        </w:tc>
      </w:tr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rPr>
                <w:rStyle w:val="SpecialBold"/>
              </w:rPr>
              <w:t>Release 1</w:t>
            </w:r>
            <w:r w:rsidRPr="007D1BB1">
              <w:t>. This is the first release of this</w:t>
            </w:r>
            <w:r w:rsidRPr="007D1BB1">
              <w:t xml:space="preserve"> unit of competency in the TLI Transport and Logistics Training Package.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12" w:name="O_1121142"/>
      <w:bookmarkEnd w:id="12"/>
      <w:r w:rsidRPr="007D1B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Evidence required to demonstrate competence in this unit must be relevant to and satisfy all of the requirements of the elements and performa</w:t>
            </w:r>
            <w:r w:rsidRPr="007D1BB1">
              <w:t>nce criteria on at least one occasion and include:</w:t>
            </w:r>
          </w:p>
          <w:p w:rsidR="00000000" w:rsidRPr="007D1BB1" w:rsidP="007D1BB1">
            <w:pPr>
              <w:pStyle w:val="ListBullet"/>
            </w:pPr>
            <w:r w:rsidRPr="007D1BB1">
              <w:t>anticipating problems, faults and malfunctions, in accordance with regulatory requirements and workplace procedures</w:t>
            </w:r>
          </w:p>
          <w:p w:rsidR="00000000" w:rsidRPr="007D1BB1" w:rsidP="007D1BB1">
            <w:pPr>
              <w:pStyle w:val="ListBullet"/>
            </w:pPr>
            <w:r w:rsidRPr="007D1BB1">
              <w:t>applying relevant workplace procedures</w:t>
            </w:r>
          </w:p>
          <w:p w:rsidR="00000000" w:rsidRPr="007D1BB1" w:rsidP="007D1BB1">
            <w:pPr>
              <w:pStyle w:val="ListBullet"/>
            </w:pPr>
            <w:r w:rsidRPr="007D1BB1">
              <w:t>identifying job hazards and required action to mi</w:t>
            </w:r>
            <w:r w:rsidRPr="007D1BB1">
              <w:t>nimise, control or eliminate identified hazards</w:t>
            </w:r>
          </w:p>
          <w:p w:rsidR="00000000" w:rsidRPr="007D1BB1" w:rsidP="007D1BB1">
            <w:pPr>
              <w:pStyle w:val="ListBullet"/>
            </w:pPr>
            <w:r w:rsidRPr="007D1BB1">
              <w:t>working systematically with required attention to detail without injury to self or others, or damage to equipment in accordance with organisational procedures.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13" w:name="O_1121141"/>
      <w:bookmarkEnd w:id="13"/>
      <w:r w:rsidRPr="007D1B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D1BB1" w:rsidP="007D1BB1">
            <w:pPr>
              <w:pStyle w:val="ListBullet"/>
            </w:pPr>
            <w:r w:rsidRPr="007D1BB1">
              <w:t>ballast profile rail industry standards</w:t>
            </w:r>
          </w:p>
          <w:p w:rsidR="00000000" w:rsidRPr="007D1BB1" w:rsidP="007D1BB1">
            <w:pPr>
              <w:pStyle w:val="ListBullet"/>
            </w:pPr>
            <w:r w:rsidRPr="007D1BB1">
              <w:t>components and work stations of dyn</w:t>
            </w:r>
            <w:r w:rsidRPr="007D1BB1">
              <w:t>amic track stabalisers</w:t>
            </w:r>
          </w:p>
          <w:p w:rsidR="00000000" w:rsidRPr="007D1BB1" w:rsidP="007D1BB1">
            <w:pPr>
              <w:pStyle w:val="ListBullet"/>
            </w:pPr>
            <w:r w:rsidRPr="007D1BB1">
              <w:t>hazards that may exist when using a dynamic track stabaliser and ways of controlling the risks involved</w:t>
            </w:r>
          </w:p>
          <w:p w:rsidR="00000000" w:rsidRPr="007D1BB1" w:rsidP="007D1BB1">
            <w:pPr>
              <w:pStyle w:val="ListBullet"/>
            </w:pPr>
            <w:r w:rsidRPr="007D1BB1">
              <w:t>problems that may occur when using a dynamic track stabaliser and action that can be taken to resolve and report these problems</w:t>
            </w:r>
          </w:p>
          <w:p w:rsidR="00000000" w:rsidRPr="007D1BB1" w:rsidP="007D1BB1">
            <w:pPr>
              <w:pStyle w:val="ListBullet"/>
            </w:pPr>
            <w:r w:rsidRPr="007D1BB1">
              <w:t>r</w:t>
            </w:r>
            <w:r w:rsidRPr="007D1BB1">
              <w:t>elevant rail safety, work health and safety (WHS)/occupational health and safety (OHS) and environmental procedures and regulations</w:t>
            </w:r>
          </w:p>
          <w:p w:rsidR="00000000" w:rsidRPr="007D1BB1" w:rsidP="007D1BB1">
            <w:pPr>
              <w:pStyle w:val="ListBullet"/>
            </w:pPr>
            <w:r w:rsidRPr="007D1BB1">
              <w:t>track geometry and terminology</w:t>
            </w:r>
          </w:p>
          <w:p w:rsidR="00000000" w:rsidRPr="007D1BB1" w:rsidP="007D1BB1">
            <w:pPr>
              <w:pStyle w:val="ListBullet"/>
            </w:pPr>
            <w:r w:rsidRPr="007D1BB1">
              <w:t>workplace procedures for using dynamic track stabalisers.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14" w:name="O_1121140"/>
      <w:bookmarkEnd w:id="14"/>
      <w:r w:rsidRPr="007D1B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BB1" w:rsidP="007D1BB1">
            <w:pPr>
              <w:pStyle w:val="BodyText"/>
            </w:pPr>
            <w:r w:rsidRPr="007D1BB1">
              <w:t xml:space="preserve">Assessors must hold credentials specified within the Standards for Registered Training Organisations current at the time of assessment. </w:t>
            </w:r>
          </w:p>
          <w:p w:rsidR="00000000" w:rsidRPr="007D1BB1" w:rsidP="007D1BB1">
            <w:pPr>
              <w:pStyle w:val="BodyText"/>
            </w:pPr>
            <w:r w:rsidRPr="007D1BB1">
              <w:t>Assessment must satisfy the Principles of Assessment and Rules of Evidence and all regulatory req</w:t>
            </w:r>
            <w:r w:rsidRPr="007D1BB1">
              <w:t>uirements included within the Standards for Registered Training Organisations current at the time of assessment.</w:t>
            </w:r>
          </w:p>
          <w:p w:rsidR="00000000" w:rsidRPr="007D1BB1" w:rsidP="007D1BB1">
            <w:pPr>
              <w:pStyle w:val="BodyText"/>
            </w:pPr>
            <w:r w:rsidRPr="007D1BB1">
              <w:t>Assessment must occur in workplace operational situations or, where this is not available, in simulated workplace operational situations that r</w:t>
            </w:r>
            <w:r w:rsidRPr="007D1BB1">
              <w:t>eplicate rail corridor workplace conditions.</w:t>
            </w:r>
          </w:p>
          <w:p w:rsidR="00000000" w:rsidRPr="007D1BB1" w:rsidP="007D1BB1">
            <w:pPr>
              <w:pStyle w:val="BodyText"/>
            </w:pPr>
            <w:r w:rsidRPr="007D1BB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D1BB1" w:rsidP="007D1BB1">
            <w:pPr>
              <w:pStyle w:val="BodyText"/>
            </w:pPr>
            <w:r w:rsidRPr="007D1BB1">
              <w:t>Resources for assessment must include asses</w:t>
            </w:r>
            <w:r w:rsidRPr="007D1BB1">
              <w:t>s to:</w:t>
            </w:r>
          </w:p>
          <w:p w:rsidR="00000000" w:rsidRPr="007D1BB1" w:rsidP="007D1BB1">
            <w:pPr>
              <w:pStyle w:val="ListBullet"/>
            </w:pPr>
            <w:r w:rsidRPr="007D1BB1">
              <w:t>a range of relevant exercises, case studies and/or simulations</w:t>
            </w:r>
          </w:p>
          <w:p w:rsidR="00000000" w:rsidRPr="007D1BB1" w:rsidP="007D1BB1">
            <w:pPr>
              <w:pStyle w:val="ListBullet"/>
            </w:pPr>
            <w:r w:rsidRPr="007D1BB1">
              <w:t>relevant and appropriate materials, tools, equipment and personal protective equipment (PPE) currently used in industry</w:t>
            </w:r>
          </w:p>
          <w:p w:rsidR="00000000" w:rsidRPr="007D1BB1" w:rsidP="007D1BB1">
            <w:pPr>
              <w:pStyle w:val="ListBullet"/>
            </w:pPr>
            <w:r w:rsidRPr="007D1BB1">
              <w:t>applicable documentation including workplace procedures, regulatio</w:t>
            </w:r>
            <w:r w:rsidRPr="007D1BB1">
              <w:t>ns, rail industry standards, codes of practice and operation manuals.</w:t>
            </w:r>
          </w:p>
        </w:tc>
      </w:tr>
    </w:tbl>
    <w:p w:rsidR="00000000" w:rsidRPr="007D1BB1" w:rsidP="007D1BB1">
      <w:pPr>
        <w:pStyle w:val="NoPaddingFontSize1"/>
      </w:pPr>
    </w:p>
    <w:p w:rsidR="00000000" w:rsidRPr="007D1BB1" w:rsidP="007D1BB1">
      <w:pPr>
        <w:pStyle w:val="AllowPageBreak"/>
      </w:pPr>
    </w:p>
    <w:p w:rsidR="00000000" w:rsidRPr="007D1BB1" w:rsidP="007D1BB1">
      <w:pPr>
        <w:pStyle w:val="Heading1"/>
      </w:pPr>
      <w:bookmarkStart w:id="15" w:name="O_1121155"/>
      <w:bookmarkEnd w:id="15"/>
      <w:r w:rsidRPr="007D1BB1">
        <w:t>Links</w:t>
      </w:r>
    </w:p>
    <w:p w:rsidR="00000000" w:rsidRPr="007D1BB1" w:rsidP="00612E9F">
      <w:pPr>
        <w:pStyle w:val="BodyText"/>
      </w:pPr>
      <w:r w:rsidRPr="007D1B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07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D1BB1" w:rsidP="007D1BB1"/>
    <w:sectPr w:rsidSect="007D1B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B1" w:rsidRPr="00612E9F" w:rsidP="00612E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9F" w:rsidP="007D1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E9F" w:rsidP="007D1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2E9F" w:rsidP="007D1B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B1" w:rsidP="007D1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2E9F">
      <w:t>Approved</w:t>
    </w:r>
    <w:r w:rsidR="00612E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2E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2E9F">
      <w:rPr>
        <w:noProof/>
      </w:rPr>
      <w:t>4</w:t>
    </w:r>
    <w:r>
      <w:rPr>
        <w:noProof/>
      </w:rPr>
      <w:fldChar w:fldCharType="end"/>
    </w:r>
  </w:p>
  <w:p w:rsidR="007D1BB1" w:rsidP="007D1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2E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2E9F">
      <w:t>Industry Skills Australia</w:t>
    </w:r>
    <w:r w:rsidR="00612E9F">
      <w:fldChar w:fldCharType="end"/>
    </w:r>
  </w:p>
  <w:p w:rsidR="007D1BB1" w:rsidP="007D1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BB1" w:rsidRPr="00612E9F" w:rsidP="00612E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9F" w:rsidRPr="002D2AF8" w:rsidP="007D1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TLIW2030 Identify the principles of dynamic track stabaliser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2E9F" w:rsidP="007D1B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BB1" w:rsidRPr="002D2AF8" w:rsidP="007D1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2E9F">
      <w:t>TLIW2030 Identify the principles of dynamic track stabaliser operations</w:t>
    </w:r>
    <w:r w:rsidR="00612E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2E9F">
      <w:rPr>
        <w:noProof/>
      </w:rPr>
      <w:t>1 March 2025</w:t>
    </w:r>
    <w:r>
      <w:fldChar w:fldCharType="end"/>
    </w:r>
  </w:p>
  <w:p w:rsidR="007D1BB1" w:rsidP="007D1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9C8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D02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BB1"/>
  </w:style>
  <w:style w:type="character" w:customStyle="1" w:styleId="Heading1Char">
    <w:name w:val="Heading 1 Char"/>
    <w:basedOn w:val="DefaultParagraphFont"/>
    <w:link w:val="Heading1"/>
    <w:rsid w:val="007D1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B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B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BB1"/>
    <w:rPr>
      <w:b/>
      <w:spacing w:val="0"/>
    </w:rPr>
  </w:style>
  <w:style w:type="paragraph" w:customStyle="1" w:styleId="SuperHeading">
    <w:name w:val="SuperHeading"/>
    <w:basedOn w:val="Normal"/>
    <w:rsid w:val="007D1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1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B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B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B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B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BB1"/>
    <w:rPr>
      <w:i/>
    </w:rPr>
  </w:style>
  <w:style w:type="paragraph" w:styleId="Caption">
    <w:name w:val="caption"/>
    <w:basedOn w:val="BodyText"/>
    <w:next w:val="Normal"/>
    <w:qFormat/>
    <w:rsid w:val="007D1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BB1"/>
  </w:style>
  <w:style w:type="paragraph" w:styleId="TableofFigures">
    <w:name w:val="table of figures"/>
    <w:basedOn w:val="Normal"/>
    <w:next w:val="Normal"/>
    <w:semiHidden/>
    <w:rsid w:val="007D1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B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1BB1"/>
    <w:rPr>
      <w:rFonts w:ascii="Wingdings" w:hAnsi="Wingdings"/>
    </w:rPr>
  </w:style>
  <w:style w:type="paragraph" w:customStyle="1" w:styleId="TableHeading">
    <w:name w:val="Table Heading"/>
    <w:basedOn w:val="HeadingBase"/>
    <w:rsid w:val="007D1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BB1"/>
    <w:rPr>
      <w:color w:val="0033CC"/>
      <w:u w:val="none"/>
    </w:rPr>
  </w:style>
  <w:style w:type="paragraph" w:customStyle="1" w:styleId="BodyTextRight">
    <w:name w:val="Body Text Right"/>
    <w:basedOn w:val="BodyText"/>
    <w:rsid w:val="007D1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B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BB1"/>
    <w:rPr>
      <w:sz w:val="32"/>
    </w:rPr>
  </w:style>
  <w:style w:type="paragraph" w:customStyle="1" w:styleId="HeadingProcedure">
    <w:name w:val="Heading Procedure"/>
    <w:basedOn w:val="HeadingBase"/>
    <w:next w:val="Normal"/>
    <w:rsid w:val="007D1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BB1"/>
    <w:pPr>
      <w:spacing w:before="60" w:after="60"/>
    </w:pPr>
  </w:style>
  <w:style w:type="paragraph" w:styleId="ListContinue">
    <w:name w:val="List Continue"/>
    <w:basedOn w:val="List"/>
    <w:rsid w:val="007D1BB1"/>
    <w:pPr>
      <w:ind w:firstLine="0"/>
    </w:pPr>
  </w:style>
  <w:style w:type="paragraph" w:customStyle="1" w:styleId="ListNote">
    <w:name w:val="List Note"/>
    <w:basedOn w:val="List"/>
    <w:rsid w:val="007D1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BB1"/>
    <w:rPr>
      <w:rFonts w:ascii="Courier New" w:hAnsi="Courier New"/>
    </w:rPr>
  </w:style>
  <w:style w:type="paragraph" w:customStyle="1" w:styleId="NoteBullet">
    <w:name w:val="Note Bullet"/>
    <w:basedOn w:val="Note"/>
    <w:rsid w:val="007D1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B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1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BB1"/>
    <w:rPr>
      <w:b/>
      <w:smallCaps/>
    </w:rPr>
  </w:style>
  <w:style w:type="paragraph" w:customStyle="1" w:styleId="TableListNumber">
    <w:name w:val="Table List Number"/>
    <w:basedOn w:val="ListNumber"/>
    <w:rsid w:val="007D1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BB1"/>
    <w:pPr>
      <w:numPr>
        <w:numId w:val="8"/>
      </w:numPr>
    </w:pPr>
  </w:style>
  <w:style w:type="paragraph" w:customStyle="1" w:styleId="ListAlpha2">
    <w:name w:val="List Alpha 2"/>
    <w:basedOn w:val="List2"/>
    <w:rsid w:val="007D1BB1"/>
    <w:pPr>
      <w:numPr>
        <w:numId w:val="7"/>
      </w:numPr>
    </w:pPr>
  </w:style>
  <w:style w:type="paragraph" w:styleId="List2">
    <w:name w:val="List 2"/>
    <w:basedOn w:val="BodyText"/>
    <w:rsid w:val="007D1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B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B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1BB1"/>
    <w:pPr>
      <w:numPr>
        <w:numId w:val="3"/>
      </w:numPr>
    </w:pPr>
  </w:style>
  <w:style w:type="paragraph" w:styleId="ListContinue2">
    <w:name w:val="List Continue 2"/>
    <w:basedOn w:val="List2"/>
    <w:rsid w:val="007D1BB1"/>
    <w:pPr>
      <w:ind w:firstLine="0"/>
    </w:pPr>
  </w:style>
  <w:style w:type="paragraph" w:styleId="ListContinue3">
    <w:name w:val="List Continue 3"/>
    <w:basedOn w:val="List3"/>
    <w:rsid w:val="007D1BB1"/>
    <w:pPr>
      <w:ind w:left="1021" w:firstLine="0"/>
    </w:pPr>
  </w:style>
  <w:style w:type="paragraph" w:styleId="ListContinue4">
    <w:name w:val="List Continue 4"/>
    <w:basedOn w:val="List4"/>
    <w:rsid w:val="007D1BB1"/>
    <w:pPr>
      <w:ind w:firstLine="0"/>
    </w:pPr>
  </w:style>
  <w:style w:type="paragraph" w:styleId="ListContinue5">
    <w:name w:val="List Continue 5"/>
    <w:basedOn w:val="List5"/>
    <w:rsid w:val="007D1BB1"/>
    <w:pPr>
      <w:ind w:firstLine="0"/>
    </w:pPr>
  </w:style>
  <w:style w:type="paragraph" w:styleId="ListNumber3">
    <w:name w:val="List Number 3"/>
    <w:basedOn w:val="List3"/>
    <w:rsid w:val="007D1BB1"/>
    <w:pPr>
      <w:numPr>
        <w:numId w:val="4"/>
      </w:numPr>
    </w:pPr>
  </w:style>
  <w:style w:type="paragraph" w:styleId="ListNumber4">
    <w:name w:val="List Number 4"/>
    <w:basedOn w:val="List4"/>
    <w:rsid w:val="007D1BB1"/>
    <w:pPr>
      <w:numPr>
        <w:numId w:val="5"/>
      </w:numPr>
    </w:pPr>
  </w:style>
  <w:style w:type="paragraph" w:styleId="ListNumber5">
    <w:name w:val="List Number 5"/>
    <w:basedOn w:val="List5"/>
    <w:rsid w:val="007D1BB1"/>
    <w:pPr>
      <w:numPr>
        <w:numId w:val="6"/>
      </w:numPr>
    </w:pPr>
  </w:style>
  <w:style w:type="paragraph" w:styleId="BlockText">
    <w:name w:val="Block Text"/>
    <w:basedOn w:val="Normal"/>
    <w:rsid w:val="007D1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BB1"/>
    <w:rPr>
      <w:sz w:val="16"/>
      <w:vertAlign w:val="superscript"/>
    </w:rPr>
  </w:style>
  <w:style w:type="character" w:customStyle="1" w:styleId="Symbols">
    <w:name w:val="Symbols"/>
    <w:basedOn w:val="DefaultParagraphFont"/>
    <w:rsid w:val="007D1BB1"/>
    <w:rPr>
      <w:rFonts w:ascii="Symbol" w:hAnsi="Symbol"/>
    </w:rPr>
  </w:style>
  <w:style w:type="character" w:customStyle="1" w:styleId="MenuOptions">
    <w:name w:val="Menu Options"/>
    <w:basedOn w:val="DefaultParagraphFont"/>
    <w:rsid w:val="007D1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BB1"/>
    <w:rPr>
      <w:b/>
    </w:rPr>
  </w:style>
  <w:style w:type="character" w:customStyle="1" w:styleId="Underlined">
    <w:name w:val="Underlined"/>
    <w:basedOn w:val="DefaultParagraphFont"/>
    <w:rsid w:val="007D1BB1"/>
    <w:rPr>
      <w:u w:val="single"/>
    </w:rPr>
  </w:style>
  <w:style w:type="paragraph" w:customStyle="1" w:styleId="TableBodyTextRight">
    <w:name w:val="Table Body Text Right"/>
    <w:basedOn w:val="TableBodyText"/>
    <w:rsid w:val="007D1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BB1"/>
    <w:rPr>
      <w:sz w:val="18"/>
    </w:rPr>
  </w:style>
  <w:style w:type="paragraph" w:customStyle="1" w:styleId="BodySmallRight">
    <w:name w:val="Body Small Right"/>
    <w:basedOn w:val="BodyTextRight"/>
    <w:rsid w:val="007D1BB1"/>
    <w:rPr>
      <w:sz w:val="18"/>
      <w:szCs w:val="18"/>
    </w:rPr>
  </w:style>
  <w:style w:type="paragraph" w:customStyle="1" w:styleId="MarginEdition">
    <w:name w:val="Margin Edition"/>
    <w:basedOn w:val="MarginNote"/>
    <w:rsid w:val="007D1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BB1"/>
    <w:rPr>
      <w:sz w:val="2"/>
      <w:szCs w:val="2"/>
    </w:rPr>
  </w:style>
  <w:style w:type="character" w:customStyle="1" w:styleId="Small">
    <w:name w:val="Small"/>
    <w:basedOn w:val="DefaultParagraphFont"/>
    <w:rsid w:val="007D1BB1"/>
    <w:rPr>
      <w:sz w:val="16"/>
    </w:rPr>
  </w:style>
  <w:style w:type="paragraph" w:customStyle="1" w:styleId="WideTable">
    <w:name w:val="Wide Table"/>
    <w:basedOn w:val="Normal"/>
    <w:rsid w:val="007D1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BB1"/>
  </w:style>
  <w:style w:type="paragraph" w:styleId="Quote">
    <w:name w:val="Quote"/>
    <w:basedOn w:val="Heading1"/>
    <w:link w:val="QuoteChar"/>
    <w:qFormat/>
    <w:rsid w:val="007D1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BB1"/>
    <w:pPr>
      <w:pageBreakBefore/>
    </w:pPr>
  </w:style>
  <w:style w:type="paragraph" w:customStyle="1" w:styleId="Border">
    <w:name w:val="Border"/>
    <w:basedOn w:val="Normal"/>
    <w:qFormat/>
    <w:rsid w:val="007D1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BB1"/>
    <w:rPr>
      <w:u w:val="single"/>
    </w:rPr>
  </w:style>
  <w:style w:type="character" w:customStyle="1" w:styleId="BoldandItalics">
    <w:name w:val="Bold and Italics"/>
    <w:qFormat/>
    <w:rsid w:val="007D1BB1"/>
    <w:rPr>
      <w:b/>
      <w:i/>
      <w:u w:val="none"/>
    </w:rPr>
  </w:style>
  <w:style w:type="paragraph" w:styleId="BalloonText">
    <w:name w:val="Balloon Text"/>
    <w:basedOn w:val="Normal"/>
    <w:link w:val="BalloonTextChar"/>
    <w:rsid w:val="007D1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BB1"/>
    <w:pPr>
      <w:spacing w:before="0" w:after="0"/>
    </w:pPr>
  </w:style>
  <w:style w:type="paragraph" w:customStyle="1" w:styleId="BodyTextBold">
    <w:name w:val="Body Text Bold"/>
    <w:basedOn w:val="BodyText"/>
    <w:qFormat/>
    <w:rsid w:val="007D1BB1"/>
    <w:rPr>
      <w:b/>
    </w:rPr>
  </w:style>
  <w:style w:type="character" w:styleId="Hyperlink">
    <w:name w:val="Hyperlink"/>
    <w:basedOn w:val="DefaultParagraphFont"/>
    <w:uiPriority w:val="99"/>
    <w:unhideWhenUsed/>
    <w:rsid w:val="00612E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5605</Characters>
  <Application>Microsoft Office Word</Application>
  <DocSecurity>0</DocSecurity>
  <Lines>193</Lines>
  <Paragraphs>113</Paragraphs>
  <ScaleCrop>false</ScaleCrop>
  <Company>Author-it Software Corporation Ltd.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TLIW2030 Identify the principles of dynamic track stabaliser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2025-03-01T10:52:00Z</dcterms:created>
  <dcterms:modified xsi:type="dcterms:W3CDTF">2025-03-01T10:52:00Z</dcterms:modified>
</cp:coreProperties>
</file>