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583" w:rsidP="008A0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TLIW2025 Dock boards on mechanical feeds</w:t>
      </w:r>
      <w:r>
        <w:fldChar w:fldCharType="end"/>
      </w:r>
    </w:p>
    <w:p w:rsidR="008A0583" w:rsidP="008A0583">
      <w:pPr>
        <w:pStyle w:val="Version"/>
        <w:sectPr w:rsidSect="00613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07E" w:rsidP="0061307E">
      <w:pPr>
        <w:pStyle w:val="SuperHeading"/>
      </w:pPr>
      <w:r w:rsidRPr="0061307E">
        <w:t>TLIW2025 Dock boards on mechanical feeds</w:t>
      </w:r>
    </w:p>
    <w:p w:rsidR="00000000" w:rsidRPr="0061307E" w:rsidP="0061307E">
      <w:pPr>
        <w:pStyle w:val="Heading1"/>
      </w:pPr>
      <w:bookmarkStart w:id="1" w:name="O_801870"/>
      <w:bookmarkEnd w:id="1"/>
      <w:r w:rsidRPr="0061307E">
        <w:t>Modification History</w:t>
      </w:r>
    </w:p>
    <w:p w:rsidR="008A0583" w:rsidP="008A0583">
      <w:pPr>
        <w:pStyle w:val="BodyText"/>
      </w:pPr>
      <w:r w:rsidRPr="0061307E">
        <w:t>Release 1. This is the first release of this unit of competency in the TLI Transport and Logistics Training Package.</w:t>
      </w:r>
    </w:p>
    <w:p w:rsidR="00000000" w:rsidRPr="0061307E" w:rsidP="0061307E">
      <w:pPr>
        <w:pStyle w:val="Heading1"/>
      </w:pPr>
      <w:bookmarkStart w:id="2" w:name="O_801871"/>
      <w:bookmarkEnd w:id="2"/>
      <w:r w:rsidRPr="0061307E">
        <w:t>Application</w:t>
      </w:r>
    </w:p>
    <w:p w:rsidR="00000000" w:rsidRPr="0061307E" w:rsidP="008A0583">
      <w:pPr>
        <w:pStyle w:val="BodyText"/>
      </w:pPr>
      <w:r w:rsidRPr="0061307E">
        <w:t>This unit involves the skills and knowledge required to dock boards using mechanical fee</w:t>
      </w:r>
      <w:r w:rsidRPr="0061307E">
        <w:t>d systems in accordance with regulations and workplace procedures as part of pallet manufacturing processes in the transport and logistics industry.</w:t>
      </w:r>
    </w:p>
    <w:p w:rsidR="00000000" w:rsidRPr="0061307E" w:rsidP="008A0583">
      <w:pPr>
        <w:pStyle w:val="BodyText"/>
      </w:pPr>
      <w:r w:rsidRPr="0061307E">
        <w:t>It includes preparing for docking with a mechanical feed, cutting boards on mechanical feed, monitoring and</w:t>
      </w:r>
      <w:r w:rsidRPr="0061307E">
        <w:t xml:space="preserve"> rectifying processing operations and completing operations. </w:t>
      </w:r>
    </w:p>
    <w:p w:rsidR="00000000" w:rsidRPr="0061307E" w:rsidP="008A0583">
      <w:pPr>
        <w:pStyle w:val="BodyText"/>
      </w:pPr>
      <w:r w:rsidRPr="0061307E">
        <w:t xml:space="preserve">Work is generally performed under some supervision, within a team/group environment. </w:t>
      </w:r>
    </w:p>
    <w:p w:rsidR="008A0583" w:rsidP="008A0583">
      <w:pPr>
        <w:pStyle w:val="BodyText"/>
      </w:pPr>
      <w:r w:rsidRPr="0061307E">
        <w:t>No licensing, legislative or certification requirements apply to this unit at the time of publication.</w:t>
      </w:r>
    </w:p>
    <w:p w:rsidR="00000000" w:rsidRPr="0061307E" w:rsidP="0061307E">
      <w:pPr>
        <w:pStyle w:val="Heading1"/>
      </w:pPr>
      <w:bookmarkStart w:id="3" w:name="O_801872"/>
      <w:bookmarkEnd w:id="3"/>
      <w:r w:rsidRPr="0061307E">
        <w:t>Pre-requisite Unit</w:t>
      </w:r>
    </w:p>
    <w:p w:rsidR="008A0583" w:rsidP="008A0583">
      <w:pPr>
        <w:pStyle w:val="BodyText"/>
      </w:pPr>
      <w:r w:rsidRPr="0061307E">
        <w:t>Not applicable.</w:t>
      </w:r>
    </w:p>
    <w:p w:rsidR="00000000" w:rsidRPr="0061307E" w:rsidP="0061307E">
      <w:pPr>
        <w:pStyle w:val="Heading1"/>
      </w:pPr>
      <w:bookmarkStart w:id="4" w:name="O_801873"/>
      <w:bookmarkEnd w:id="4"/>
      <w:r w:rsidRPr="0061307E">
        <w:t>Competency Field</w:t>
      </w:r>
    </w:p>
    <w:p w:rsidR="008A0583" w:rsidP="008A0583">
      <w:pPr>
        <w:pStyle w:val="BodyText"/>
      </w:pPr>
      <w:r w:rsidRPr="0061307E">
        <w:t>W – Equipment and Systems Operations</w:t>
      </w:r>
    </w:p>
    <w:p w:rsidR="00000000" w:rsidRPr="0061307E" w:rsidP="0061307E">
      <w:pPr>
        <w:pStyle w:val="Heading1"/>
      </w:pPr>
      <w:bookmarkStart w:id="5" w:name="O_801874"/>
      <w:bookmarkEnd w:id="5"/>
      <w:r w:rsidRPr="0061307E">
        <w:t>Unit Sector</w:t>
      </w:r>
    </w:p>
    <w:p w:rsidR="008A0583" w:rsidP="008A0583">
      <w:pPr>
        <w:pStyle w:val="BodyText"/>
      </w:pPr>
      <w:r w:rsidRPr="0061307E">
        <w:t>Not applicable.</w:t>
      </w:r>
    </w:p>
    <w:p w:rsidR="00000000" w:rsidRPr="0061307E" w:rsidP="0061307E">
      <w:pPr>
        <w:pStyle w:val="Heading1"/>
      </w:pPr>
      <w:bookmarkStart w:id="6" w:name="O_801875"/>
      <w:bookmarkEnd w:id="6"/>
      <w:r w:rsidRPr="006130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07E" w:rsidP="0061307E">
            <w:pPr>
              <w:pStyle w:val="BodyText"/>
            </w:pPr>
            <w:r w:rsidRPr="0061307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rPr>
                <w:rStyle w:val="SpecialBold"/>
              </w:rPr>
              <w:t>PERFORMANCE CRITERIA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Performance criteria describe the performance needed to demonstrate achievement of the element.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07E" w:rsidP="0061307E">
            <w:pPr>
              <w:pStyle w:val="BodyText"/>
            </w:pPr>
            <w:r w:rsidRPr="0061307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rPr>
                <w:rStyle w:val="SpecialBold"/>
              </w:rPr>
              <w:t xml:space="preserve">Prepare for docking </w:t>
            </w:r>
            <w:r w:rsidRPr="0061307E">
              <w:rPr>
                <w:rStyle w:val="SpecialBold"/>
              </w:rPr>
              <w:t>with mechanical feed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Appropriate work health and safety (WHS)/occupational health and saf</w:t>
            </w:r>
            <w:r w:rsidRPr="0061307E">
              <w:t xml:space="preserve">ety (OHS) and </w:t>
            </w:r>
            <w:r w:rsidRPr="0061307E">
              <w:t>other regulatory procedures are followed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Hazards are identified, risks are assessed and control measures are implemented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Job requirements regarding sizes and lengths acceptable for further processing are identified from order forms/workplace standards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Start-up checks are completed in accordance with workplace procedures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General cross-section, length and conditi</w:t>
            </w:r>
            <w:r w:rsidRPr="0061307E">
              <w:t>on of boards on conveyor is visually assessed in accordance with workplace quality standards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Typical docking/cutting patterns are identified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Communication with supervisor and other workers is maintained to ensure efficient workflow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07E" w:rsidP="0061307E">
            <w:pPr>
              <w:pStyle w:val="BodyText"/>
            </w:pPr>
            <w:r w:rsidRPr="0061307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rPr>
                <w:rStyle w:val="SpecialBold"/>
              </w:rPr>
              <w:t>Cut boards on mechanical feed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Individual boards are assessed and optimal docking/cutting pattern is identified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Boards are positioned and saw/s are operated to produce selected cutting pattern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Swollen ends of boards are removed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Cuts are made to required lengths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Cuts are made to required grade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Faults/problems with materials or componentry are identified and appropriate action is taken in accordance with workplace procedures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Reject boards are identified and marked or removed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07E" w:rsidP="0061307E">
            <w:pPr>
              <w:pStyle w:val="BodyText"/>
            </w:pPr>
            <w:r w:rsidRPr="0061307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rPr>
                <w:rStyle w:val="SpecialBold"/>
              </w:rPr>
              <w:t>Monitor and correct processing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Feed systems are regularly monitored for material flow problems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Dimensions and finish of cut boards are regularly checked in accordance with workplace standards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Characteristics of blunt and damaged saws are recognised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Saw blades are removed and replaced in accordance with workplace standard procedures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Area around saw is regularly cleaned in accordance with workplace procedure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07E" w:rsidP="0061307E">
            <w:pPr>
              <w:pStyle w:val="BodyText"/>
            </w:pPr>
            <w:r w:rsidRPr="0061307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rPr>
                <w:rStyle w:val="SpecialBold"/>
              </w:rPr>
              <w:t>Complete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Machine shut down is conducted in accordance with workplace and manufacturer guidelines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Boards are relocated to holding area without damage to boards, personnel or equipment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Waste materials are directed for disposal or recovery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Production records are completed in accordance with workplace procedures</w:t>
            </w:r>
          </w:p>
        </w:tc>
      </w:tr>
      <w:tr w:rsidTr="008A0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07E">
            <w:pPr>
              <w:pStyle w:val="BodyText"/>
              <w:rPr>
                <w:lang w:val="en-NZ"/>
              </w:rPr>
            </w:pPr>
            <w:r w:rsidRPr="0061307E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07E" w:rsidP="0061307E">
            <w:pPr>
              <w:pStyle w:val="BodyText"/>
            </w:pPr>
            <w:r w:rsidRPr="0061307E">
              <w:t>Maintenance program is completed as required and recorded</w:t>
            </w:r>
          </w:p>
        </w:tc>
      </w:tr>
    </w:tbl>
    <w:p w:rsidR="008A0583" w:rsidP="0061307E">
      <w:pPr>
        <w:pStyle w:val="BodyText"/>
      </w:pPr>
    </w:p>
    <w:p w:rsidR="008A0583" w:rsidP="0061307E">
      <w:pPr>
        <w:pStyle w:val="BodyText"/>
      </w:pPr>
    </w:p>
    <w:p w:rsidR="00000000" w:rsidRPr="0061307E" w:rsidP="0061307E">
      <w:pPr>
        <w:pStyle w:val="Heading1"/>
      </w:pPr>
      <w:bookmarkStart w:id="7" w:name="O_801876"/>
      <w:bookmarkEnd w:id="7"/>
      <w:r w:rsidRPr="0061307E">
        <w:t>Foundation Skills</w:t>
      </w:r>
    </w:p>
    <w:p w:rsidR="008A0583" w:rsidP="008A0583">
      <w:pPr>
        <w:pStyle w:val="BodyText"/>
      </w:pPr>
      <w:r w:rsidRPr="0061307E">
        <w:t>Foundation skills essential to performance are explicit in the performance criteria of this unit of competency.</w:t>
      </w:r>
    </w:p>
    <w:p w:rsidR="00000000" w:rsidRPr="0061307E" w:rsidP="0061307E">
      <w:pPr>
        <w:pStyle w:val="Heading1"/>
      </w:pPr>
      <w:bookmarkStart w:id="8" w:name="O_801877"/>
      <w:bookmarkEnd w:id="8"/>
      <w:r w:rsidRPr="0061307E">
        <w:t>Range of Conditions</w:t>
      </w:r>
    </w:p>
    <w:p w:rsidR="00000000" w:rsidRPr="0061307E" w:rsidP="008A0583">
      <w:pPr>
        <w:pStyle w:val="BodyText"/>
      </w:pPr>
      <w:r w:rsidRPr="0061307E">
        <w:t>Range is restricted to essential operating conditions and any other variables essential to the work enviro</w:t>
      </w:r>
      <w:r w:rsidRPr="0061307E">
        <w:t>nment.</w:t>
      </w:r>
    </w:p>
    <w:p w:rsidR="008A0583" w:rsidP="008A0583">
      <w:pPr>
        <w:pStyle w:val="BodyText"/>
      </w:pPr>
      <w:r w:rsidRPr="0061307E">
        <w:t>Non-essential conditions can be found in the Companion Volume Implementation Guide.</w:t>
      </w:r>
    </w:p>
    <w:p w:rsidR="00000000" w:rsidRPr="0061307E" w:rsidP="0061307E">
      <w:pPr>
        <w:pStyle w:val="Heading1"/>
      </w:pPr>
      <w:bookmarkStart w:id="9" w:name="O_801878"/>
      <w:bookmarkEnd w:id="9"/>
      <w:r w:rsidRPr="0061307E">
        <w:t>Unit Mapping Information</w:t>
      </w:r>
    </w:p>
    <w:p w:rsidR="008A0583" w:rsidP="008A0583">
      <w:pPr>
        <w:pStyle w:val="BodyText"/>
      </w:pPr>
      <w:r w:rsidRPr="0061307E">
        <w:t>This unit replaces and is equivalent to TLIW2025A Dock boards on mechanical feeds.</w:t>
      </w:r>
    </w:p>
    <w:p w:rsidR="00000000" w:rsidRPr="0061307E" w:rsidP="0061307E">
      <w:pPr>
        <w:pStyle w:val="Heading1"/>
      </w:pPr>
      <w:bookmarkStart w:id="10" w:name="O_801885"/>
      <w:bookmarkEnd w:id="10"/>
      <w:r w:rsidRPr="0061307E">
        <w:t>Links</w:t>
      </w:r>
    </w:p>
    <w:p w:rsidR="00000000" w:rsidRPr="0061307E" w:rsidP="008A0583">
      <w:pPr>
        <w:pStyle w:val="BodyText"/>
      </w:pPr>
      <w:r w:rsidRPr="0061307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FE72EC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61307E" w:rsidP="0061307E"/>
    <w:sectPr w:rsidSect="006130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07E" w:rsidRPr="008A0583" w:rsidP="008A0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83" w:rsidP="00613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583" w:rsidP="00613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0583" w:rsidP="00613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07E" w:rsidRPr="008A0583" w:rsidP="008A0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83" w:rsidRPr="002D2AF8" w:rsidP="00613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TLIW2025 Dock boards on mechanical feeds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8A0583" w:rsidP="00613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07E"/>
  </w:style>
  <w:style w:type="character" w:customStyle="1" w:styleId="Heading1Char">
    <w:name w:val="Heading 1 Char"/>
    <w:basedOn w:val="DefaultParagraphFont"/>
    <w:link w:val="Heading1"/>
    <w:rsid w:val="00613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0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307E"/>
    <w:rPr>
      <w:b/>
      <w:spacing w:val="0"/>
    </w:rPr>
  </w:style>
  <w:style w:type="paragraph" w:customStyle="1" w:styleId="SuperHeading">
    <w:name w:val="SuperHeading"/>
    <w:basedOn w:val="Normal"/>
    <w:rsid w:val="00613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0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30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3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30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3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0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07E"/>
    <w:rPr>
      <w:i/>
    </w:rPr>
  </w:style>
  <w:style w:type="paragraph" w:styleId="Caption">
    <w:name w:val="caption"/>
    <w:basedOn w:val="BodyText"/>
    <w:next w:val="Normal"/>
    <w:qFormat/>
    <w:rsid w:val="00613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07E"/>
  </w:style>
  <w:style w:type="paragraph" w:styleId="TableofFigures">
    <w:name w:val="table of figures"/>
    <w:basedOn w:val="Normal"/>
    <w:next w:val="Normal"/>
    <w:semiHidden/>
    <w:rsid w:val="00613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0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307E"/>
    <w:rPr>
      <w:rFonts w:ascii="Wingdings" w:hAnsi="Wingdings"/>
    </w:rPr>
  </w:style>
  <w:style w:type="paragraph" w:customStyle="1" w:styleId="TableHeading">
    <w:name w:val="Table Heading"/>
    <w:basedOn w:val="HeadingBase"/>
    <w:rsid w:val="00613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07E"/>
    <w:rPr>
      <w:color w:val="0033CC"/>
      <w:u w:val="none"/>
    </w:rPr>
  </w:style>
  <w:style w:type="paragraph" w:customStyle="1" w:styleId="BodyTextRight">
    <w:name w:val="Body Text Right"/>
    <w:basedOn w:val="BodyText"/>
    <w:rsid w:val="00613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0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07E"/>
    <w:rPr>
      <w:sz w:val="32"/>
    </w:rPr>
  </w:style>
  <w:style w:type="paragraph" w:customStyle="1" w:styleId="HeadingProcedure">
    <w:name w:val="Heading Procedure"/>
    <w:basedOn w:val="HeadingBase"/>
    <w:next w:val="Normal"/>
    <w:rsid w:val="00613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07E"/>
    <w:pPr>
      <w:spacing w:before="60" w:after="60"/>
    </w:pPr>
  </w:style>
  <w:style w:type="paragraph" w:styleId="ListContinue">
    <w:name w:val="List Continue"/>
    <w:basedOn w:val="List"/>
    <w:rsid w:val="0061307E"/>
    <w:pPr>
      <w:ind w:firstLine="0"/>
    </w:pPr>
  </w:style>
  <w:style w:type="paragraph" w:customStyle="1" w:styleId="ListNote">
    <w:name w:val="List Note"/>
    <w:basedOn w:val="List"/>
    <w:rsid w:val="00613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07E"/>
    <w:rPr>
      <w:rFonts w:ascii="Courier New" w:hAnsi="Courier New"/>
    </w:rPr>
  </w:style>
  <w:style w:type="paragraph" w:customStyle="1" w:styleId="NoteBullet">
    <w:name w:val="Note Bullet"/>
    <w:basedOn w:val="Note"/>
    <w:rsid w:val="00613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0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3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07E"/>
    <w:rPr>
      <w:b/>
      <w:smallCaps/>
    </w:rPr>
  </w:style>
  <w:style w:type="paragraph" w:customStyle="1" w:styleId="TableListNumber">
    <w:name w:val="Table List Number"/>
    <w:basedOn w:val="ListNumber"/>
    <w:rsid w:val="00613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07E"/>
    <w:pPr>
      <w:numPr>
        <w:numId w:val="7"/>
      </w:numPr>
    </w:pPr>
  </w:style>
  <w:style w:type="paragraph" w:customStyle="1" w:styleId="ListAlpha2">
    <w:name w:val="List Alpha 2"/>
    <w:basedOn w:val="List2"/>
    <w:rsid w:val="0061307E"/>
    <w:pPr>
      <w:numPr>
        <w:numId w:val="6"/>
      </w:numPr>
    </w:pPr>
  </w:style>
  <w:style w:type="paragraph" w:styleId="List2">
    <w:name w:val="List 2"/>
    <w:basedOn w:val="BodyText"/>
    <w:rsid w:val="00613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0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0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307E"/>
    <w:pPr>
      <w:numPr>
        <w:numId w:val="2"/>
      </w:numPr>
    </w:pPr>
  </w:style>
  <w:style w:type="paragraph" w:styleId="ListContinue2">
    <w:name w:val="List Continue 2"/>
    <w:basedOn w:val="List2"/>
    <w:rsid w:val="0061307E"/>
    <w:pPr>
      <w:ind w:firstLine="0"/>
    </w:pPr>
  </w:style>
  <w:style w:type="paragraph" w:styleId="ListContinue3">
    <w:name w:val="List Continue 3"/>
    <w:basedOn w:val="List3"/>
    <w:rsid w:val="0061307E"/>
    <w:pPr>
      <w:ind w:left="1021" w:firstLine="0"/>
    </w:pPr>
  </w:style>
  <w:style w:type="paragraph" w:styleId="ListContinue4">
    <w:name w:val="List Continue 4"/>
    <w:basedOn w:val="List4"/>
    <w:rsid w:val="0061307E"/>
    <w:pPr>
      <w:ind w:firstLine="0"/>
    </w:pPr>
  </w:style>
  <w:style w:type="paragraph" w:styleId="ListContinue5">
    <w:name w:val="List Continue 5"/>
    <w:basedOn w:val="List5"/>
    <w:rsid w:val="0061307E"/>
    <w:pPr>
      <w:ind w:firstLine="0"/>
    </w:pPr>
  </w:style>
  <w:style w:type="paragraph" w:styleId="ListNumber3">
    <w:name w:val="List Number 3"/>
    <w:basedOn w:val="List3"/>
    <w:rsid w:val="0061307E"/>
    <w:pPr>
      <w:numPr>
        <w:numId w:val="3"/>
      </w:numPr>
    </w:pPr>
  </w:style>
  <w:style w:type="paragraph" w:styleId="ListNumber4">
    <w:name w:val="List Number 4"/>
    <w:basedOn w:val="List4"/>
    <w:rsid w:val="0061307E"/>
    <w:pPr>
      <w:numPr>
        <w:numId w:val="4"/>
      </w:numPr>
    </w:pPr>
  </w:style>
  <w:style w:type="paragraph" w:styleId="ListNumber5">
    <w:name w:val="List Number 5"/>
    <w:basedOn w:val="List5"/>
    <w:rsid w:val="0061307E"/>
    <w:pPr>
      <w:numPr>
        <w:numId w:val="5"/>
      </w:numPr>
    </w:pPr>
  </w:style>
  <w:style w:type="paragraph" w:styleId="BlockText">
    <w:name w:val="Block Text"/>
    <w:basedOn w:val="Normal"/>
    <w:rsid w:val="00613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07E"/>
    <w:rPr>
      <w:sz w:val="16"/>
      <w:vertAlign w:val="superscript"/>
    </w:rPr>
  </w:style>
  <w:style w:type="character" w:customStyle="1" w:styleId="Symbols">
    <w:name w:val="Symbols"/>
    <w:basedOn w:val="DefaultParagraphFont"/>
    <w:rsid w:val="0061307E"/>
    <w:rPr>
      <w:rFonts w:ascii="Symbol" w:hAnsi="Symbol"/>
    </w:rPr>
  </w:style>
  <w:style w:type="character" w:customStyle="1" w:styleId="MenuOptions">
    <w:name w:val="Menu Options"/>
    <w:basedOn w:val="DefaultParagraphFont"/>
    <w:rsid w:val="00613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07E"/>
    <w:rPr>
      <w:b/>
    </w:rPr>
  </w:style>
  <w:style w:type="character" w:customStyle="1" w:styleId="Underlined">
    <w:name w:val="Underlined"/>
    <w:basedOn w:val="DefaultParagraphFont"/>
    <w:rsid w:val="0061307E"/>
    <w:rPr>
      <w:u w:val="single"/>
    </w:rPr>
  </w:style>
  <w:style w:type="paragraph" w:customStyle="1" w:styleId="TableBodyTextRight">
    <w:name w:val="Table Body Text Right"/>
    <w:basedOn w:val="TableBodyText"/>
    <w:rsid w:val="00613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07E"/>
    <w:rPr>
      <w:sz w:val="18"/>
    </w:rPr>
  </w:style>
  <w:style w:type="paragraph" w:customStyle="1" w:styleId="BodySmallRight">
    <w:name w:val="Body Small Right"/>
    <w:basedOn w:val="BodyTextRight"/>
    <w:rsid w:val="0061307E"/>
    <w:rPr>
      <w:sz w:val="18"/>
      <w:szCs w:val="18"/>
    </w:rPr>
  </w:style>
  <w:style w:type="paragraph" w:customStyle="1" w:styleId="MarginEdition">
    <w:name w:val="Margin Edition"/>
    <w:basedOn w:val="MarginNote"/>
    <w:rsid w:val="00613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07E"/>
    <w:rPr>
      <w:sz w:val="2"/>
      <w:szCs w:val="2"/>
    </w:rPr>
  </w:style>
  <w:style w:type="character" w:customStyle="1" w:styleId="Small">
    <w:name w:val="Small"/>
    <w:basedOn w:val="DefaultParagraphFont"/>
    <w:rsid w:val="0061307E"/>
    <w:rPr>
      <w:sz w:val="16"/>
    </w:rPr>
  </w:style>
  <w:style w:type="paragraph" w:customStyle="1" w:styleId="WideTable">
    <w:name w:val="Wide Table"/>
    <w:basedOn w:val="Normal"/>
    <w:rsid w:val="00613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07E"/>
  </w:style>
  <w:style w:type="paragraph" w:styleId="Quote">
    <w:name w:val="Quote"/>
    <w:basedOn w:val="Heading1"/>
    <w:link w:val="QuoteChar"/>
    <w:qFormat/>
    <w:rsid w:val="00613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07E"/>
    <w:pPr>
      <w:pageBreakBefore/>
    </w:pPr>
  </w:style>
  <w:style w:type="paragraph" w:customStyle="1" w:styleId="Border">
    <w:name w:val="Border"/>
    <w:basedOn w:val="Normal"/>
    <w:qFormat/>
    <w:rsid w:val="00613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07E"/>
    <w:rPr>
      <w:u w:val="single"/>
    </w:rPr>
  </w:style>
  <w:style w:type="character" w:customStyle="1" w:styleId="BoldandItalics">
    <w:name w:val="Bold and Italics"/>
    <w:qFormat/>
    <w:rsid w:val="0061307E"/>
    <w:rPr>
      <w:b/>
      <w:i/>
      <w:u w:val="none"/>
    </w:rPr>
  </w:style>
  <w:style w:type="paragraph" w:styleId="BalloonText">
    <w:name w:val="Balloon Text"/>
    <w:basedOn w:val="Normal"/>
    <w:link w:val="BalloonTextChar"/>
    <w:rsid w:val="00613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07E"/>
    <w:pPr>
      <w:spacing w:before="0" w:after="0"/>
    </w:pPr>
  </w:style>
  <w:style w:type="paragraph" w:customStyle="1" w:styleId="BodyTextBold">
    <w:name w:val="Body Text Bold"/>
    <w:basedOn w:val="BodyText"/>
    <w:qFormat/>
    <w:rsid w:val="0061307E"/>
    <w:rPr>
      <w:b/>
    </w:rPr>
  </w:style>
  <w:style w:type="character" w:styleId="Hyperlink">
    <w:name w:val="Hyperlink"/>
    <w:basedOn w:val="DefaultParagraphFont"/>
    <w:uiPriority w:val="99"/>
    <w:unhideWhenUsed/>
    <w:rsid w:val="008A0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3542</Characters>
  <Application>Microsoft Office Word</Application>
  <DocSecurity>0</DocSecurity>
  <Lines>177</Lines>
  <Paragraphs>105</Paragraphs>
  <ScaleCrop>false</ScaleCrop>
  <Company>Author-it Software Corporation Ltd.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TLIW2025 Dock boards on mechanical feeds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2019-09-27T01:27:00Z</dcterms:created>
  <dcterms:modified xsi:type="dcterms:W3CDTF">2019-09-27T01:27:00Z</dcterms:modified>
</cp:coreProperties>
</file>