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AFE" w:rsidP="00245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TLIW2025 Dock boards on mechanical feeds</w:t>
      </w:r>
      <w:r>
        <w:fldChar w:fldCharType="end"/>
      </w:r>
    </w:p>
    <w:p w:rsidR="00245AFE" w:rsidP="00245AFE">
      <w:pPr>
        <w:pStyle w:val="Version"/>
        <w:sectPr w:rsidSect="0027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14E" w:rsidP="0027214E">
      <w:pPr>
        <w:pStyle w:val="SuperHeading"/>
      </w:pPr>
      <w:r w:rsidRPr="0027214E">
        <w:t>TLIW2025 Dock boards on mechanical feeds</w:t>
      </w:r>
    </w:p>
    <w:p w:rsidR="00000000" w:rsidRPr="0027214E" w:rsidP="0027214E">
      <w:pPr>
        <w:pStyle w:val="Heading1"/>
      </w:pPr>
      <w:bookmarkStart w:id="1" w:name="O_801870"/>
      <w:bookmarkEnd w:id="1"/>
      <w:r w:rsidRPr="0027214E">
        <w:t>Modification History</w:t>
      </w:r>
    </w:p>
    <w:p w:rsidR="00245AFE" w:rsidP="00245AFE">
      <w:pPr>
        <w:pStyle w:val="BodyText"/>
      </w:pPr>
      <w:r w:rsidRPr="0027214E">
        <w:t>Release 1. This is the first release of this unit of competency in the TLI Transport and Logistics Training Package.</w:t>
      </w:r>
    </w:p>
    <w:p w:rsidR="00000000" w:rsidRPr="0027214E" w:rsidP="0027214E">
      <w:pPr>
        <w:pStyle w:val="Heading1"/>
      </w:pPr>
      <w:bookmarkStart w:id="2" w:name="O_801871"/>
      <w:bookmarkEnd w:id="2"/>
      <w:r w:rsidRPr="0027214E">
        <w:t>Application</w:t>
      </w:r>
    </w:p>
    <w:p w:rsidR="00000000" w:rsidRPr="0027214E" w:rsidP="00245AFE">
      <w:pPr>
        <w:pStyle w:val="BodyText"/>
      </w:pPr>
      <w:r w:rsidRPr="0027214E">
        <w:t>This unit involves the skills and knowledge required to dock boards using mechanical fee</w:t>
      </w:r>
      <w:r w:rsidRPr="0027214E">
        <w:t>d systems in accordance with regulations and workplace procedures as part of pallet manufacturing processes in the transport and logistics industry.</w:t>
      </w:r>
    </w:p>
    <w:p w:rsidR="00000000" w:rsidRPr="0027214E" w:rsidP="00245AFE">
      <w:pPr>
        <w:pStyle w:val="BodyText"/>
      </w:pPr>
      <w:r w:rsidRPr="0027214E">
        <w:t>It includes preparing for docking with a mechanical feed, cutting boards on mechanical feed, monitoring and</w:t>
      </w:r>
      <w:r w:rsidRPr="0027214E">
        <w:t xml:space="preserve"> rectifying processing operations and completing operations. </w:t>
      </w:r>
    </w:p>
    <w:p w:rsidR="00000000" w:rsidRPr="0027214E" w:rsidP="00245AFE">
      <w:pPr>
        <w:pStyle w:val="BodyText"/>
      </w:pPr>
      <w:r w:rsidRPr="0027214E">
        <w:t xml:space="preserve">Work is generally performed under some supervision, within a team/group environment. </w:t>
      </w:r>
    </w:p>
    <w:p w:rsidR="00245AFE" w:rsidP="00245AFE">
      <w:pPr>
        <w:pStyle w:val="BodyText"/>
      </w:pPr>
      <w:r w:rsidRPr="0027214E">
        <w:t>No licensing, legislative or certification requirements apply to this unit at the time of publication.</w:t>
      </w:r>
    </w:p>
    <w:p w:rsidR="00000000" w:rsidRPr="0027214E" w:rsidP="0027214E">
      <w:pPr>
        <w:pStyle w:val="Heading1"/>
      </w:pPr>
      <w:bookmarkStart w:id="3" w:name="O_801872"/>
      <w:bookmarkEnd w:id="3"/>
      <w:r w:rsidRPr="0027214E">
        <w:t>Pre-requisite Unit</w:t>
      </w:r>
    </w:p>
    <w:p w:rsidR="00245AFE" w:rsidP="00245AFE">
      <w:pPr>
        <w:pStyle w:val="BodyText"/>
      </w:pPr>
      <w:r w:rsidRPr="0027214E">
        <w:t>Not applicable.</w:t>
      </w:r>
    </w:p>
    <w:p w:rsidR="00000000" w:rsidRPr="0027214E" w:rsidP="0027214E">
      <w:pPr>
        <w:pStyle w:val="Heading1"/>
      </w:pPr>
      <w:bookmarkStart w:id="4" w:name="O_801873"/>
      <w:bookmarkEnd w:id="4"/>
      <w:r w:rsidRPr="0027214E">
        <w:t>Competency Field</w:t>
      </w:r>
    </w:p>
    <w:p w:rsidR="00245AFE" w:rsidP="00245AFE">
      <w:pPr>
        <w:pStyle w:val="BodyText"/>
      </w:pPr>
      <w:r w:rsidRPr="0027214E">
        <w:t>W – Equipment and Systems Operations</w:t>
      </w:r>
    </w:p>
    <w:p w:rsidR="00000000" w:rsidRPr="0027214E" w:rsidP="0027214E">
      <w:pPr>
        <w:pStyle w:val="Heading1"/>
      </w:pPr>
      <w:bookmarkStart w:id="5" w:name="O_801874"/>
      <w:bookmarkEnd w:id="5"/>
      <w:r w:rsidRPr="0027214E">
        <w:t>Unit Sector</w:t>
      </w:r>
    </w:p>
    <w:p w:rsidR="00245AFE" w:rsidP="00245AFE">
      <w:pPr>
        <w:pStyle w:val="BodyText"/>
      </w:pPr>
      <w:r w:rsidRPr="0027214E">
        <w:t>Not applicable.</w:t>
      </w:r>
    </w:p>
    <w:p w:rsidR="00000000" w:rsidRPr="0027214E" w:rsidP="0027214E">
      <w:pPr>
        <w:pStyle w:val="Heading1"/>
      </w:pPr>
      <w:bookmarkStart w:id="6" w:name="O_801875"/>
      <w:bookmarkEnd w:id="6"/>
      <w:r w:rsidRPr="002721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rPr>
                <w:rStyle w:val="SpecialBold"/>
              </w:rPr>
              <w:t>PERFORMANCE CRITERIA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Performance criteria describe the performance needed to demonstrate achievement of the element.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rPr>
                <w:rStyle w:val="SpecialBold"/>
              </w:rPr>
              <w:t xml:space="preserve">Prepare for docking </w:t>
            </w:r>
            <w:r w:rsidRPr="0027214E">
              <w:rPr>
                <w:rStyle w:val="SpecialBold"/>
              </w:rPr>
              <w:t>with mechanical feed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Appropriate work health and safety (WHS)/occupational health and saf</w:t>
            </w:r>
            <w:r w:rsidRPr="0027214E">
              <w:t xml:space="preserve">ety (OHS) and </w:t>
            </w:r>
            <w:r w:rsidRPr="0027214E">
              <w:t>other regulatory procedures are followed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Hazards are identified, risks are assessed and control measures are implemented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Job requirements regarding sizes and lengths acceptable for furthe</w:t>
            </w:r>
            <w:r w:rsidRPr="0027214E">
              <w:t>r processing are identified from order forms/workplace standards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Start-up checks are completed in accordance with workplace procedures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General cross-section, length and conditi</w:t>
            </w:r>
            <w:r w:rsidRPr="0027214E">
              <w:t>on of boards on conveyor is visually assessed in accordance with workplace quality standards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Typical docking/cutting patterns are identified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Communication with supervisor and other workers is maintained to ensure efficient workflow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rPr>
                <w:rStyle w:val="SpecialBold"/>
              </w:rPr>
              <w:t>Cut boa</w:t>
            </w:r>
            <w:r w:rsidRPr="0027214E">
              <w:rPr>
                <w:rStyle w:val="SpecialBold"/>
              </w:rPr>
              <w:t>rds on mechanical feed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Individual boards are assessed and optimal docking/cutting pattern is identified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Boards are positioned and saw/s are operated to produce selected cutting pattern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Swollen ends of boards are removed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Cuts are made to required lengths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Cuts are made to required grade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Faults/problems with materials or componentry are identified and appropriate action is taken in accordance with workplace procedures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Reject boards are identified and marked or removed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rPr>
                <w:rStyle w:val="SpecialBold"/>
              </w:rPr>
              <w:t>Monitor and correct processing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Feed systems are regularly monitored for material flow problems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Dimensions and finish of cut boards are regularly checked in accordance with workplace standards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Characteristics of blunt and damaged saws are recognised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Saw blades are removed and replaced in accordance with workplace standard procedures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Area around saw is regularly cleaned in accordance with workplace procedure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Machine shut down is conducted in accordance with workplace and manufacturer guidelines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Boards are relocated to holding area without damage to boards, personnel or equipment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Waste materials are directed for disposal or recovery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Production records are completed in accordance with workplace procedures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t>Maintenance program is completed as required and recorded</w:t>
            </w:r>
          </w:p>
        </w:tc>
      </w:tr>
    </w:tbl>
    <w:p w:rsidR="00245AFE" w:rsidP="0027214E">
      <w:pPr>
        <w:pStyle w:val="BodyText"/>
      </w:pPr>
    </w:p>
    <w:p w:rsidR="00245AFE" w:rsidP="0027214E">
      <w:pPr>
        <w:pStyle w:val="BodyText"/>
      </w:pPr>
    </w:p>
    <w:p w:rsidR="00000000" w:rsidRPr="0027214E" w:rsidP="0027214E">
      <w:pPr>
        <w:pStyle w:val="Heading1"/>
      </w:pPr>
      <w:bookmarkStart w:id="7" w:name="O_801876"/>
      <w:bookmarkEnd w:id="7"/>
      <w:r w:rsidRPr="0027214E">
        <w:t>Foundation Skills</w:t>
      </w:r>
    </w:p>
    <w:p w:rsidR="00245AFE" w:rsidP="00245AFE">
      <w:pPr>
        <w:pStyle w:val="BodyText"/>
      </w:pPr>
      <w:r w:rsidRPr="0027214E">
        <w:t>Foundation skills essential to performance are explicit in the performance criteria of this unit of competency.</w:t>
      </w:r>
    </w:p>
    <w:p w:rsidR="00000000" w:rsidRPr="0027214E" w:rsidP="0027214E">
      <w:pPr>
        <w:pStyle w:val="Heading1"/>
      </w:pPr>
      <w:bookmarkStart w:id="8" w:name="O_801877"/>
      <w:bookmarkEnd w:id="8"/>
      <w:r w:rsidRPr="0027214E">
        <w:t>Range of Conditions</w:t>
      </w:r>
    </w:p>
    <w:p w:rsidR="00000000" w:rsidRPr="0027214E" w:rsidP="00245AFE">
      <w:pPr>
        <w:pStyle w:val="BodyText"/>
      </w:pPr>
      <w:r w:rsidRPr="0027214E">
        <w:t>Range is restricted to essential operating conditions and any other variables essential to the work enviro</w:t>
      </w:r>
      <w:r w:rsidRPr="0027214E">
        <w:t>nment.</w:t>
      </w:r>
    </w:p>
    <w:p w:rsidR="00245AFE" w:rsidP="00245AFE">
      <w:pPr>
        <w:pStyle w:val="BodyText"/>
      </w:pPr>
      <w:r w:rsidRPr="0027214E">
        <w:t>Non-essential conditions can be found in the Companion Volume Implementation Guide.</w:t>
      </w:r>
    </w:p>
    <w:p w:rsidR="00000000" w:rsidRPr="0027214E" w:rsidP="0027214E">
      <w:pPr>
        <w:pStyle w:val="Heading1"/>
      </w:pPr>
      <w:bookmarkStart w:id="9" w:name="O_801878"/>
      <w:bookmarkEnd w:id="9"/>
      <w:r w:rsidRPr="0027214E">
        <w:t>Unit Mapping Information</w:t>
      </w:r>
    </w:p>
    <w:p w:rsidR="00245AFE" w:rsidP="00245AFE">
      <w:pPr>
        <w:pStyle w:val="BodyText"/>
      </w:pPr>
      <w:r w:rsidRPr="0027214E">
        <w:t>This unit replaces and is equivalent to TLIW2025A Dock boards on mechanical feeds.</w:t>
      </w:r>
    </w:p>
    <w:p w:rsidR="00000000" w:rsidRPr="0027214E" w:rsidP="0027214E">
      <w:pPr>
        <w:pStyle w:val="Heading1"/>
      </w:pPr>
      <w:bookmarkStart w:id="10" w:name="O_801885"/>
      <w:bookmarkEnd w:id="10"/>
      <w:r w:rsidRPr="0027214E">
        <w:t>Links</w:t>
      </w:r>
    </w:p>
    <w:p w:rsidR="00000000" w:rsidRPr="0027214E" w:rsidP="00245AFE">
      <w:pPr>
        <w:pStyle w:val="BodyText"/>
      </w:pPr>
      <w:r w:rsidRPr="0027214E">
        <w:t>Companion Volum</w:t>
      </w:r>
      <w:r w:rsidRPr="0027214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68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214E" w:rsidP="00245AFE">
      <w:pPr>
        <w:pStyle w:val="BodyText"/>
        <w:sectPr w:rsidSect="002721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14E" w:rsidP="0027214E">
      <w:pPr>
        <w:pStyle w:val="SuperHeading"/>
      </w:pPr>
      <w:r w:rsidRPr="0027214E">
        <w:t>Assessment Requirements for TLIW2025 Dock boards on mechanical feeds</w:t>
      </w:r>
    </w:p>
    <w:p w:rsidR="00000000" w:rsidRPr="0027214E" w:rsidP="0027214E">
      <w:pPr>
        <w:pStyle w:val="Heading1"/>
      </w:pPr>
      <w:bookmarkStart w:id="11" w:name="O_801880"/>
      <w:bookmarkEnd w:id="11"/>
      <w:r w:rsidRPr="0027214E">
        <w:t>Modification History</w:t>
      </w:r>
    </w:p>
    <w:p w:rsidR="00245AFE" w:rsidP="00245AFE">
      <w:pPr>
        <w:pStyle w:val="BodyText"/>
      </w:pPr>
      <w:r w:rsidRPr="0027214E">
        <w:t>Release 1. This is the first release of this unit of competency in the TLI Transport and Logistics Training Package.</w:t>
      </w:r>
    </w:p>
    <w:p w:rsidR="00000000" w:rsidRPr="0027214E" w:rsidP="0027214E">
      <w:pPr>
        <w:pStyle w:val="Heading1"/>
      </w:pPr>
      <w:bookmarkStart w:id="12" w:name="O_801881"/>
      <w:bookmarkEnd w:id="12"/>
      <w:r w:rsidRPr="0027214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Evidence required to demonstrate competence in this unit must be releva</w:t>
            </w:r>
            <w:r w:rsidRPr="0027214E">
              <w:t>nt to and satisfy all of the requirements of the elements and performance criteria on at least one occasion and include: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ListBullet"/>
            </w:pPr>
            <w:r w:rsidRPr="0027214E">
              <w:t>adapting to differences in materials and equipment in accordance with operating procedures</w:t>
            </w:r>
          </w:p>
          <w:p w:rsidR="00000000" w:rsidRPr="0027214E" w:rsidP="0027214E">
            <w:pPr>
              <w:pStyle w:val="ListBullet"/>
            </w:pPr>
            <w:r w:rsidRPr="0027214E">
              <w:t xml:space="preserve">applying precautions and required action to minimise, control or eliminate identified hazards </w:t>
            </w:r>
          </w:p>
          <w:p w:rsidR="00000000" w:rsidRPr="0027214E" w:rsidP="0027214E">
            <w:pPr>
              <w:pStyle w:val="ListBullet"/>
            </w:pPr>
            <w:r w:rsidRPr="0027214E">
              <w:t>applying relevant legislation and workplace procedures</w:t>
            </w:r>
          </w:p>
          <w:p w:rsidR="00000000" w:rsidRPr="0027214E" w:rsidP="0027214E">
            <w:pPr>
              <w:pStyle w:val="ListBullet"/>
            </w:pPr>
            <w:r w:rsidRPr="0027214E">
              <w:t xml:space="preserve">carrying out visual inspection of board quality to relevant Australian Standards </w:t>
            </w:r>
          </w:p>
          <w:p w:rsidR="00000000" w:rsidRPr="0027214E" w:rsidP="0027214E">
            <w:pPr>
              <w:pStyle w:val="ListBullet"/>
            </w:pPr>
            <w:r w:rsidRPr="0027214E">
              <w:t>communicating and workin</w:t>
            </w:r>
            <w:r w:rsidRPr="0027214E">
              <w:t xml:space="preserve">g effectively with others </w:t>
            </w:r>
          </w:p>
          <w:p w:rsidR="00000000" w:rsidRPr="0027214E" w:rsidP="0027214E">
            <w:pPr>
              <w:pStyle w:val="ListBullet"/>
            </w:pPr>
            <w:r w:rsidRPr="0027214E">
              <w:t>identifying and correctly using relevant equipment</w:t>
            </w:r>
          </w:p>
          <w:p w:rsidR="00000000" w:rsidRPr="0027214E" w:rsidP="0027214E">
            <w:pPr>
              <w:pStyle w:val="ListBullet"/>
            </w:pPr>
            <w:r w:rsidRPr="0027214E">
              <w:t>maintaining machinery including saw blade quality and sharpness</w:t>
            </w:r>
          </w:p>
          <w:p w:rsidR="00000000" w:rsidRPr="0027214E" w:rsidP="0027214E">
            <w:pPr>
              <w:pStyle w:val="ListBullet"/>
            </w:pPr>
            <w:r w:rsidRPr="0027214E">
              <w:t>modifying activities depending on operational contingencies, risk situations and environments</w:t>
            </w:r>
          </w:p>
          <w:p w:rsidR="00000000" w:rsidRPr="0027214E" w:rsidP="0027214E">
            <w:pPr>
              <w:pStyle w:val="ListBullet"/>
            </w:pPr>
            <w:r w:rsidRPr="0027214E">
              <w:t>monitoring and prior</w:t>
            </w:r>
            <w:r w:rsidRPr="0027214E">
              <w:t>itising work activities in terms of planned schedule</w:t>
            </w:r>
          </w:p>
          <w:p w:rsidR="00000000" w:rsidRPr="0027214E" w:rsidP="0027214E">
            <w:pPr>
              <w:pStyle w:val="ListBullet"/>
            </w:pPr>
            <w:r w:rsidRPr="0027214E">
              <w:t>operating electronic communications equipment to required protocol</w:t>
            </w:r>
          </w:p>
          <w:p w:rsidR="00000000" w:rsidRPr="0027214E" w:rsidP="0027214E">
            <w:pPr>
              <w:pStyle w:val="ListBullet"/>
            </w:pPr>
            <w:r w:rsidRPr="0027214E">
              <w:t>planning own work, predicting consequences and identifying improvements</w:t>
            </w:r>
          </w:p>
          <w:p w:rsidR="00000000" w:rsidRPr="0027214E" w:rsidP="0027214E">
            <w:pPr>
              <w:pStyle w:val="ListBullet"/>
            </w:pPr>
            <w:r w:rsidRPr="0027214E">
              <w:t>reading, interpreting and following relevant instructions, proce</w:t>
            </w:r>
            <w:r w:rsidRPr="0027214E">
              <w:t xml:space="preserve">dures, information and signs </w:t>
            </w:r>
          </w:p>
          <w:p w:rsidR="00000000" w:rsidRPr="0027214E" w:rsidP="0027214E">
            <w:pPr>
              <w:pStyle w:val="ListBullet"/>
            </w:pPr>
            <w:r w:rsidRPr="0027214E">
              <w:t>reporting and/or rectifying identified problems, faults or malfunctions promptly, in accordance with regulatory requirements and workplace procedures</w:t>
            </w:r>
          </w:p>
          <w:p w:rsidR="00000000" w:rsidRPr="0027214E" w:rsidP="0027214E">
            <w:pPr>
              <w:pStyle w:val="ListBullet"/>
            </w:pPr>
            <w:r w:rsidRPr="0027214E">
              <w:t>selecting and u</w:t>
            </w:r>
            <w:r w:rsidRPr="0027214E">
              <w:t>sing required personal protective equipment conforming to industry and work health and safety (WHS)/occupational health and safety (OHS) standards</w:t>
            </w:r>
          </w:p>
          <w:p w:rsidR="00000000" w:rsidRPr="0027214E" w:rsidP="0027214E">
            <w:pPr>
              <w:pStyle w:val="ListBullet"/>
            </w:pPr>
            <w:r w:rsidRPr="0027214E">
              <w:t>working systematically with required attention to detail without injury to self or others, or damage to goods</w:t>
            </w:r>
            <w:r w:rsidRPr="0027214E">
              <w:t xml:space="preserve"> or equipment.</w:t>
            </w:r>
          </w:p>
        </w:tc>
      </w:tr>
    </w:tbl>
    <w:p w:rsidR="00000000" w:rsidRPr="0027214E" w:rsidP="0027214E">
      <w:pPr>
        <w:pStyle w:val="BodyText"/>
      </w:pPr>
    </w:p>
    <w:p w:rsidR="00000000" w:rsidRPr="0027214E" w:rsidP="0027214E">
      <w:pPr>
        <w:pStyle w:val="AllowPageBreak"/>
      </w:pPr>
    </w:p>
    <w:p w:rsidR="00000000" w:rsidRPr="0027214E" w:rsidP="0027214E">
      <w:pPr>
        <w:pStyle w:val="Heading1"/>
      </w:pPr>
      <w:bookmarkStart w:id="13" w:name="O_801882"/>
      <w:bookmarkEnd w:id="13"/>
      <w:r w:rsidRPr="0027214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4E">
            <w:pPr>
              <w:pStyle w:val="BodyText"/>
              <w:rPr>
                <w:lang w:val="en-NZ"/>
              </w:rPr>
            </w:pPr>
            <w:r w:rsidRPr="0027214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ListBullet"/>
            </w:pPr>
            <w:r w:rsidRPr="0027214E">
              <w:t>documentation and record requirements</w:t>
            </w:r>
          </w:p>
          <w:p w:rsidR="00000000" w:rsidRPr="0027214E" w:rsidP="0027214E">
            <w:pPr>
              <w:pStyle w:val="ListBullet"/>
            </w:pPr>
            <w:r w:rsidRPr="0027214E">
              <w:t>equipment used for docking boards using mechanical feed processes and the precautions and procedures that should be followed in its use</w:t>
            </w:r>
          </w:p>
          <w:p w:rsidR="00000000" w:rsidRPr="0027214E" w:rsidP="0027214E">
            <w:pPr>
              <w:pStyle w:val="ListBullet"/>
            </w:pPr>
            <w:r w:rsidRPr="0027214E">
              <w:t>housekeeping standards and procedures</w:t>
            </w:r>
          </w:p>
          <w:p w:rsidR="00000000" w:rsidRPr="0027214E" w:rsidP="0027214E">
            <w:pPr>
              <w:pStyle w:val="ListBullet"/>
            </w:pPr>
            <w:r w:rsidRPr="0027214E">
              <w:t>operational work systems, equipment, managem</w:t>
            </w:r>
            <w:r w:rsidRPr="0027214E">
              <w:t>ent and site operating systems for docking boards using mechanical feed processes</w:t>
            </w:r>
          </w:p>
          <w:p w:rsidR="00000000" w:rsidRPr="0027214E" w:rsidP="0027214E">
            <w:pPr>
              <w:pStyle w:val="ListBullet"/>
            </w:pPr>
            <w:r w:rsidRPr="0027214E">
              <w:t>problems that may occur and appropriate action that can be taken to resolve these problems</w:t>
            </w:r>
          </w:p>
          <w:p w:rsidR="00000000" w:rsidRPr="0027214E" w:rsidP="0027214E">
            <w:pPr>
              <w:pStyle w:val="ListBullet"/>
            </w:pPr>
            <w:r w:rsidRPr="0027214E">
              <w:t>regulations and Australian Standards relevant for docking boards using mechanical f</w:t>
            </w:r>
            <w:r w:rsidRPr="0027214E">
              <w:t xml:space="preserve">eed processes </w:t>
            </w:r>
          </w:p>
          <w:p w:rsidR="00000000" w:rsidRPr="0027214E" w:rsidP="0027214E">
            <w:pPr>
              <w:pStyle w:val="ListBullet"/>
            </w:pPr>
            <w:r w:rsidRPr="0027214E">
              <w:t>relevant WHS/OHS and environmental protection procedures and guidelines</w:t>
            </w:r>
          </w:p>
          <w:p w:rsidR="00000000" w:rsidRPr="0027214E" w:rsidP="0027214E">
            <w:pPr>
              <w:pStyle w:val="ListBullet"/>
            </w:pPr>
            <w:r w:rsidRPr="0027214E">
              <w:t>site layout and obstacles</w:t>
            </w:r>
          </w:p>
          <w:p w:rsidR="00000000" w:rsidRPr="0027214E" w:rsidP="0027214E">
            <w:pPr>
              <w:pStyle w:val="ListBullet"/>
            </w:pPr>
            <w:r w:rsidRPr="0027214E">
              <w:t>workplace procedures and policies for docking boards using mechanical feed processes.</w:t>
            </w:r>
          </w:p>
        </w:tc>
      </w:tr>
    </w:tbl>
    <w:p w:rsidR="00000000" w:rsidRPr="0027214E" w:rsidP="0027214E">
      <w:pPr>
        <w:pStyle w:val="BodyText"/>
      </w:pPr>
    </w:p>
    <w:p w:rsidR="00000000" w:rsidRPr="0027214E" w:rsidP="0027214E">
      <w:pPr>
        <w:pStyle w:val="AllowPageBreak"/>
      </w:pPr>
    </w:p>
    <w:p w:rsidR="00000000" w:rsidRPr="0027214E" w:rsidP="0027214E">
      <w:pPr>
        <w:pStyle w:val="Heading1"/>
      </w:pPr>
      <w:bookmarkStart w:id="14" w:name="O_801883"/>
      <w:bookmarkEnd w:id="14"/>
      <w:r w:rsidRPr="0027214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45A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4E" w:rsidP="0027214E">
            <w:pPr>
              <w:pStyle w:val="BodyText"/>
            </w:pPr>
            <w:r w:rsidRPr="0027214E">
              <w:t xml:space="preserve">As a minimum, assessors must satisfy applicable regulatory requirements, which include requirements in the </w:t>
            </w:r>
            <w:r w:rsidRPr="0027214E">
              <w:rPr>
                <w:rStyle w:val="Emphasis"/>
              </w:rPr>
              <w:t>Standards for Registered Training Organisations</w:t>
            </w:r>
            <w:r w:rsidRPr="0027214E">
              <w:t xml:space="preserve"> current at the time of assessment. </w:t>
            </w:r>
          </w:p>
          <w:p w:rsidR="00000000" w:rsidRPr="0027214E" w:rsidP="0027214E">
            <w:pPr>
              <w:pStyle w:val="BodyText"/>
            </w:pPr>
            <w:r w:rsidRPr="0027214E">
              <w:t>As a minimum, assessment must satisfy applicable regulatory requi</w:t>
            </w:r>
            <w:r w:rsidRPr="0027214E">
              <w:t xml:space="preserve">rements, which include requirements in the </w:t>
            </w:r>
            <w:r w:rsidRPr="0027214E">
              <w:rPr>
                <w:rStyle w:val="Emphasis"/>
              </w:rPr>
              <w:t>Standards for Registered Training Organisations</w:t>
            </w:r>
            <w:r w:rsidRPr="0027214E">
              <w:t xml:space="preserve"> current at the time of assessment.</w:t>
            </w:r>
          </w:p>
          <w:p w:rsidR="00000000" w:rsidRPr="0027214E" w:rsidP="0027214E">
            <w:pPr>
              <w:pStyle w:val="BodyText"/>
            </w:pPr>
            <w:r w:rsidRPr="0027214E">
              <w:t>Assessment must occur in workplace operational situations where it is appropriate to do so; where this is not appropriate, assessm</w:t>
            </w:r>
            <w:r w:rsidRPr="0027214E">
              <w:t xml:space="preserve">ent must occur in simulated workplace operational situations that replicate workplace conditions. </w:t>
            </w:r>
          </w:p>
          <w:p w:rsidR="00000000" w:rsidRPr="0027214E" w:rsidP="0027214E">
            <w:pPr>
              <w:pStyle w:val="BodyText"/>
            </w:pPr>
            <w:r w:rsidRPr="0027214E">
              <w:t xml:space="preserve">Assessment processes and techniques must be appropriate to the language, literacy and numeracy requirements of the work being performed and the needs of the </w:t>
            </w:r>
            <w:r w:rsidRPr="0027214E">
              <w:t>candidate.</w:t>
            </w:r>
          </w:p>
          <w:p w:rsidR="00000000" w:rsidRPr="0027214E" w:rsidP="0027214E">
            <w:pPr>
              <w:pStyle w:val="BodyText"/>
            </w:pPr>
            <w:r w:rsidRPr="0027214E">
              <w:t>Resources for assessment include:</w:t>
            </w:r>
          </w:p>
          <w:p w:rsidR="00000000" w:rsidRPr="0027214E" w:rsidP="0027214E">
            <w:pPr>
              <w:pStyle w:val="ListBullet"/>
            </w:pPr>
            <w:r w:rsidRPr="0027214E">
              <w:t>a range of relevant exercises, case studies and/or simulations</w:t>
            </w:r>
          </w:p>
          <w:p w:rsidR="00000000" w:rsidRPr="0027214E" w:rsidP="0027214E">
            <w:pPr>
              <w:pStyle w:val="ListBullet"/>
            </w:pPr>
            <w:r w:rsidRPr="0027214E">
              <w:t xml:space="preserve">applicable documentation including workplace procedures, regulations, codes of practice and operation manuals </w:t>
            </w:r>
          </w:p>
          <w:p w:rsidR="00000000" w:rsidRPr="0027214E" w:rsidP="0027214E">
            <w:pPr>
              <w:pStyle w:val="ListBullet"/>
            </w:pPr>
            <w:r w:rsidRPr="0027214E">
              <w:t>relevant materials, tools, equipment</w:t>
            </w:r>
            <w:r w:rsidRPr="0027214E">
              <w:t xml:space="preserve"> and personal protective equipment currently used in industry.</w:t>
            </w:r>
          </w:p>
        </w:tc>
      </w:tr>
    </w:tbl>
    <w:p w:rsidR="00000000" w:rsidRPr="0027214E" w:rsidP="0027214E">
      <w:pPr>
        <w:pStyle w:val="BodyText"/>
      </w:pPr>
    </w:p>
    <w:p w:rsidR="00000000" w:rsidRPr="0027214E" w:rsidP="0027214E">
      <w:pPr>
        <w:pStyle w:val="AllowPageBreak"/>
      </w:pPr>
    </w:p>
    <w:p w:rsidR="00000000" w:rsidRPr="0027214E" w:rsidP="0027214E">
      <w:pPr>
        <w:pStyle w:val="Heading1"/>
      </w:pPr>
      <w:bookmarkStart w:id="15" w:name="O_801886"/>
      <w:bookmarkEnd w:id="15"/>
      <w:r w:rsidRPr="0027214E">
        <w:t>Links</w:t>
      </w:r>
    </w:p>
    <w:p w:rsidR="00000000" w:rsidRPr="0027214E" w:rsidP="00245AFE">
      <w:pPr>
        <w:pStyle w:val="BodyText"/>
      </w:pPr>
      <w:r w:rsidRPr="00272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68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214E" w:rsidP="0027214E"/>
    <w:sectPr w:rsidSect="002721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 w:rsidRPr="00245AFE" w:rsidP="00245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E" w:rsidP="0027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AFE" w:rsidP="0027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45AFE" w:rsidP="002721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 w:rsidP="0027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AFE">
      <w:t>Approved</w:t>
    </w:r>
    <w:r w:rsidR="00245A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A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AFE">
      <w:rPr>
        <w:noProof/>
      </w:rPr>
      <w:t>4</w:t>
    </w:r>
    <w:r>
      <w:rPr>
        <w:noProof/>
      </w:rPr>
      <w:fldChar w:fldCharType="end"/>
    </w:r>
  </w:p>
  <w:p w:rsidR="0027214E" w:rsidP="0027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A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AFE">
      <w:t>Industry Skills Australia</w:t>
    </w:r>
    <w:r w:rsidR="00245AFE">
      <w:fldChar w:fldCharType="end"/>
    </w:r>
  </w:p>
  <w:p w:rsidR="0027214E" w:rsidP="00272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14E" w:rsidRPr="00245AFE" w:rsidP="00245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E" w:rsidRPr="002D2AF8" w:rsidP="0027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TLIW2025 Dock boards on mechanical feeds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AFE" w:rsidP="002721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4E" w:rsidRPr="002D2AF8" w:rsidP="0027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AFE">
      <w:t>TLIW2025 Dock boards on mechanical feeds</w:t>
    </w:r>
    <w:r w:rsidR="00245A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AFE">
      <w:rPr>
        <w:noProof/>
      </w:rPr>
      <w:t>2 March 2025</w:t>
    </w:r>
    <w:r>
      <w:fldChar w:fldCharType="end"/>
    </w:r>
  </w:p>
  <w:p w:rsidR="0027214E" w:rsidP="0027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448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A9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14E"/>
  </w:style>
  <w:style w:type="character" w:customStyle="1" w:styleId="Heading1Char">
    <w:name w:val="Heading 1 Char"/>
    <w:basedOn w:val="DefaultParagraphFont"/>
    <w:link w:val="Heading1"/>
    <w:rsid w:val="0027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14E"/>
    <w:rPr>
      <w:b/>
      <w:spacing w:val="0"/>
    </w:rPr>
  </w:style>
  <w:style w:type="character" w:styleId="Emphasis">
    <w:name w:val="Emphasis"/>
    <w:basedOn w:val="DefaultParagraphFont"/>
    <w:qFormat/>
    <w:rsid w:val="0027214E"/>
    <w:rPr>
      <w:i/>
    </w:rPr>
  </w:style>
  <w:style w:type="paragraph" w:customStyle="1" w:styleId="SuperHeading">
    <w:name w:val="SuperHeading"/>
    <w:basedOn w:val="Normal"/>
    <w:rsid w:val="00272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14E"/>
  </w:style>
  <w:style w:type="paragraph" w:styleId="TableofFigures">
    <w:name w:val="table of figures"/>
    <w:basedOn w:val="Normal"/>
    <w:next w:val="Normal"/>
    <w:semiHidden/>
    <w:rsid w:val="0027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14E"/>
    <w:rPr>
      <w:rFonts w:ascii="Wingdings" w:hAnsi="Wingdings"/>
    </w:rPr>
  </w:style>
  <w:style w:type="paragraph" w:customStyle="1" w:styleId="TableHeading">
    <w:name w:val="Table Heading"/>
    <w:basedOn w:val="HeadingBase"/>
    <w:rsid w:val="0027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14E"/>
    <w:rPr>
      <w:color w:val="0033CC"/>
      <w:u w:val="none"/>
    </w:rPr>
  </w:style>
  <w:style w:type="paragraph" w:customStyle="1" w:styleId="BodyTextRight">
    <w:name w:val="Body Text Right"/>
    <w:basedOn w:val="BodyText"/>
    <w:rsid w:val="00272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14E"/>
    <w:rPr>
      <w:sz w:val="32"/>
    </w:rPr>
  </w:style>
  <w:style w:type="paragraph" w:customStyle="1" w:styleId="HeadingProcedure">
    <w:name w:val="Heading Procedure"/>
    <w:basedOn w:val="HeadingBase"/>
    <w:next w:val="Normal"/>
    <w:rsid w:val="0027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14E"/>
    <w:pPr>
      <w:spacing w:before="60" w:after="60"/>
    </w:pPr>
  </w:style>
  <w:style w:type="paragraph" w:styleId="ListContinue">
    <w:name w:val="List Continue"/>
    <w:basedOn w:val="List"/>
    <w:rsid w:val="0027214E"/>
    <w:pPr>
      <w:ind w:firstLine="0"/>
    </w:pPr>
  </w:style>
  <w:style w:type="paragraph" w:customStyle="1" w:styleId="ListNote">
    <w:name w:val="List Note"/>
    <w:basedOn w:val="List"/>
    <w:rsid w:val="0027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14E"/>
    <w:rPr>
      <w:rFonts w:ascii="Courier New" w:hAnsi="Courier New"/>
    </w:rPr>
  </w:style>
  <w:style w:type="paragraph" w:customStyle="1" w:styleId="NoteBullet">
    <w:name w:val="Note Bullet"/>
    <w:basedOn w:val="Note"/>
    <w:rsid w:val="0027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14E"/>
    <w:rPr>
      <w:b/>
      <w:smallCaps/>
    </w:rPr>
  </w:style>
  <w:style w:type="paragraph" w:customStyle="1" w:styleId="TableListNumber">
    <w:name w:val="Table List Number"/>
    <w:basedOn w:val="ListNumber"/>
    <w:rsid w:val="0027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14E"/>
    <w:pPr>
      <w:numPr>
        <w:numId w:val="8"/>
      </w:numPr>
    </w:pPr>
  </w:style>
  <w:style w:type="paragraph" w:customStyle="1" w:styleId="ListAlpha2">
    <w:name w:val="List Alpha 2"/>
    <w:basedOn w:val="List2"/>
    <w:rsid w:val="0027214E"/>
    <w:pPr>
      <w:numPr>
        <w:numId w:val="7"/>
      </w:numPr>
    </w:pPr>
  </w:style>
  <w:style w:type="paragraph" w:styleId="List2">
    <w:name w:val="List 2"/>
    <w:basedOn w:val="BodyText"/>
    <w:rsid w:val="0027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14E"/>
    <w:pPr>
      <w:numPr>
        <w:numId w:val="3"/>
      </w:numPr>
    </w:pPr>
  </w:style>
  <w:style w:type="paragraph" w:styleId="ListContinue2">
    <w:name w:val="List Continue 2"/>
    <w:basedOn w:val="List2"/>
    <w:rsid w:val="0027214E"/>
    <w:pPr>
      <w:ind w:firstLine="0"/>
    </w:pPr>
  </w:style>
  <w:style w:type="paragraph" w:styleId="ListContinue3">
    <w:name w:val="List Continue 3"/>
    <w:basedOn w:val="List3"/>
    <w:rsid w:val="0027214E"/>
    <w:pPr>
      <w:ind w:left="1021" w:firstLine="0"/>
    </w:pPr>
  </w:style>
  <w:style w:type="paragraph" w:styleId="ListContinue4">
    <w:name w:val="List Continue 4"/>
    <w:basedOn w:val="List4"/>
    <w:rsid w:val="0027214E"/>
    <w:pPr>
      <w:ind w:firstLine="0"/>
    </w:pPr>
  </w:style>
  <w:style w:type="paragraph" w:styleId="ListContinue5">
    <w:name w:val="List Continue 5"/>
    <w:basedOn w:val="List5"/>
    <w:rsid w:val="0027214E"/>
    <w:pPr>
      <w:ind w:firstLine="0"/>
    </w:pPr>
  </w:style>
  <w:style w:type="paragraph" w:styleId="ListNumber3">
    <w:name w:val="List Number 3"/>
    <w:basedOn w:val="List3"/>
    <w:rsid w:val="0027214E"/>
    <w:pPr>
      <w:numPr>
        <w:numId w:val="4"/>
      </w:numPr>
    </w:pPr>
  </w:style>
  <w:style w:type="paragraph" w:styleId="ListNumber4">
    <w:name w:val="List Number 4"/>
    <w:basedOn w:val="List4"/>
    <w:rsid w:val="0027214E"/>
    <w:pPr>
      <w:numPr>
        <w:numId w:val="5"/>
      </w:numPr>
    </w:pPr>
  </w:style>
  <w:style w:type="paragraph" w:styleId="ListNumber5">
    <w:name w:val="List Number 5"/>
    <w:basedOn w:val="List5"/>
    <w:rsid w:val="0027214E"/>
    <w:pPr>
      <w:numPr>
        <w:numId w:val="6"/>
      </w:numPr>
    </w:pPr>
  </w:style>
  <w:style w:type="paragraph" w:styleId="BlockText">
    <w:name w:val="Block Text"/>
    <w:basedOn w:val="Normal"/>
    <w:rsid w:val="0027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14E"/>
    <w:rPr>
      <w:sz w:val="16"/>
      <w:vertAlign w:val="superscript"/>
    </w:rPr>
  </w:style>
  <w:style w:type="character" w:customStyle="1" w:styleId="Symbols">
    <w:name w:val="Symbols"/>
    <w:basedOn w:val="DefaultParagraphFont"/>
    <w:rsid w:val="0027214E"/>
    <w:rPr>
      <w:rFonts w:ascii="Symbol" w:hAnsi="Symbol"/>
    </w:rPr>
  </w:style>
  <w:style w:type="character" w:customStyle="1" w:styleId="MenuOptions">
    <w:name w:val="Menu Options"/>
    <w:basedOn w:val="DefaultParagraphFont"/>
    <w:rsid w:val="0027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14E"/>
    <w:rPr>
      <w:b/>
    </w:rPr>
  </w:style>
  <w:style w:type="character" w:customStyle="1" w:styleId="Underlined">
    <w:name w:val="Underlined"/>
    <w:basedOn w:val="DefaultParagraphFont"/>
    <w:rsid w:val="0027214E"/>
    <w:rPr>
      <w:u w:val="single"/>
    </w:rPr>
  </w:style>
  <w:style w:type="paragraph" w:customStyle="1" w:styleId="TableBodyTextRight">
    <w:name w:val="Table Body Text Right"/>
    <w:basedOn w:val="TableBodyText"/>
    <w:rsid w:val="0027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14E"/>
    <w:rPr>
      <w:sz w:val="18"/>
    </w:rPr>
  </w:style>
  <w:style w:type="paragraph" w:customStyle="1" w:styleId="BodySmallRight">
    <w:name w:val="Body Small Right"/>
    <w:basedOn w:val="BodyTextRight"/>
    <w:rsid w:val="0027214E"/>
    <w:rPr>
      <w:sz w:val="18"/>
      <w:szCs w:val="18"/>
    </w:rPr>
  </w:style>
  <w:style w:type="paragraph" w:customStyle="1" w:styleId="MarginEdition">
    <w:name w:val="Margin Edition"/>
    <w:basedOn w:val="MarginNote"/>
    <w:rsid w:val="0027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14E"/>
    <w:rPr>
      <w:sz w:val="2"/>
      <w:szCs w:val="2"/>
    </w:rPr>
  </w:style>
  <w:style w:type="character" w:customStyle="1" w:styleId="Small">
    <w:name w:val="Small"/>
    <w:basedOn w:val="DefaultParagraphFont"/>
    <w:rsid w:val="0027214E"/>
    <w:rPr>
      <w:sz w:val="16"/>
    </w:rPr>
  </w:style>
  <w:style w:type="paragraph" w:customStyle="1" w:styleId="WideTable">
    <w:name w:val="Wide Table"/>
    <w:basedOn w:val="Normal"/>
    <w:rsid w:val="0027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14E"/>
  </w:style>
  <w:style w:type="paragraph" w:styleId="Quote">
    <w:name w:val="Quote"/>
    <w:basedOn w:val="Heading1"/>
    <w:link w:val="QuoteChar"/>
    <w:qFormat/>
    <w:rsid w:val="0027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14E"/>
    <w:pPr>
      <w:pageBreakBefore/>
    </w:pPr>
  </w:style>
  <w:style w:type="paragraph" w:customStyle="1" w:styleId="Border">
    <w:name w:val="Border"/>
    <w:basedOn w:val="Normal"/>
    <w:qFormat/>
    <w:rsid w:val="0027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14E"/>
    <w:rPr>
      <w:u w:val="single"/>
    </w:rPr>
  </w:style>
  <w:style w:type="character" w:customStyle="1" w:styleId="BoldandItalics">
    <w:name w:val="Bold and Italics"/>
    <w:qFormat/>
    <w:rsid w:val="0027214E"/>
    <w:rPr>
      <w:b/>
      <w:i/>
      <w:u w:val="none"/>
    </w:rPr>
  </w:style>
  <w:style w:type="paragraph" w:styleId="BalloonText">
    <w:name w:val="Balloon Text"/>
    <w:basedOn w:val="Normal"/>
    <w:link w:val="BalloonTextChar"/>
    <w:rsid w:val="0027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14E"/>
    <w:pPr>
      <w:spacing w:before="0" w:after="0"/>
    </w:pPr>
  </w:style>
  <w:style w:type="paragraph" w:customStyle="1" w:styleId="BodyTextBold">
    <w:name w:val="Body Text Bold"/>
    <w:basedOn w:val="BodyText"/>
    <w:qFormat/>
    <w:rsid w:val="0027214E"/>
    <w:rPr>
      <w:b/>
    </w:rPr>
  </w:style>
  <w:style w:type="character" w:styleId="Hyperlink">
    <w:name w:val="Hyperlink"/>
    <w:basedOn w:val="DefaultParagraphFont"/>
    <w:uiPriority w:val="99"/>
    <w:unhideWhenUsed/>
    <w:rsid w:val="00245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7031</Characters>
  <Application>Microsoft Office Word</Application>
  <DocSecurity>0</DocSecurity>
  <Lines>242</Lines>
  <Paragraphs>153</Paragraphs>
  <ScaleCrop>false</ScaleCrop>
  <Company>Author-it Software Corporation Ltd.</Company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TLIW2025 Dock boards on mechanical feeds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