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B41" w:rsidP="00457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TLIW0036 Apply electric welding process to rail</w:t>
      </w:r>
      <w:r>
        <w:fldChar w:fldCharType="end"/>
      </w:r>
    </w:p>
    <w:p w:rsidR="00457B41" w:rsidP="00457B41">
      <w:pPr>
        <w:pStyle w:val="Version"/>
        <w:sectPr w:rsidSect="00EC2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3FE" w:rsidP="00EC23FE">
      <w:pPr>
        <w:pStyle w:val="SuperHeading"/>
      </w:pPr>
      <w:r w:rsidRPr="00EC23FE">
        <w:t>TLIW0036 Apply electric welding process to rail</w:t>
      </w:r>
    </w:p>
    <w:p w:rsidR="00000000" w:rsidRPr="00EC23FE" w:rsidP="00EC23FE">
      <w:pPr>
        <w:pStyle w:val="Heading1"/>
      </w:pPr>
      <w:bookmarkStart w:id="1" w:name="O_755856"/>
      <w:bookmarkEnd w:id="1"/>
      <w:r w:rsidRPr="00EC23FE">
        <w:t>Modification History</w:t>
      </w:r>
    </w:p>
    <w:p w:rsidR="00000000" w:rsidRPr="00EC23FE" w:rsidP="00457B41">
      <w:pPr>
        <w:pStyle w:val="BodyText"/>
      </w:pPr>
      <w:r w:rsidRPr="00EC23FE">
        <w:t>Release 1. This is the first release of this unit of competency in the TLI Transport and Logistics Training Package.</w:t>
      </w:r>
    </w:p>
    <w:p w:rsidR="00000000" w:rsidRPr="00EC23FE" w:rsidP="00EC23FE">
      <w:pPr>
        <w:pStyle w:val="Heading1"/>
      </w:pPr>
      <w:bookmarkStart w:id="2" w:name="O_755857"/>
      <w:bookmarkEnd w:id="2"/>
      <w:r w:rsidRPr="00EC23F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t>This unit involves the skills and knowledge required to weld rails, crossings and</w:t>
            </w:r>
            <w:r w:rsidRPr="00EC23FE">
              <w:t xml:space="preserve"> switches using an electric welding process in accordance with rail industry standards, safeworking and regulatory requirements, and workplace procedures.</w:t>
            </w:r>
          </w:p>
          <w:p w:rsidR="00000000" w:rsidRPr="00EC23FE" w:rsidP="00EC23FE">
            <w:pPr>
              <w:pStyle w:val="BodyText"/>
            </w:pPr>
            <w:r w:rsidRPr="00EC23FE">
              <w:t>It includes using non-destructive testing to locate defects; preparing rails, crossings or switches f</w:t>
            </w:r>
            <w:r w:rsidRPr="00EC23FE">
              <w:t xml:space="preserve">or welding; gouging or grinding; setting up welding equipment; performing welding operations; checking weld conformance; and completing required documentation. These processes are used to repair rail surface defects and restore rail profile to plain rail, </w:t>
            </w:r>
            <w:r w:rsidRPr="00EC23FE">
              <w:t xml:space="preserve">crossings and switches. </w:t>
            </w:r>
          </w:p>
          <w:p w:rsidR="00000000" w:rsidRPr="00EC23FE" w:rsidP="00EC23FE">
            <w:pPr>
              <w:pStyle w:val="BodyText"/>
            </w:pPr>
            <w:r w:rsidRPr="00EC23FE">
              <w:t>People achieving competence in this unit will need to fulfil applicable state/territory legislated rail safety requirements and to comply with rail industry standards, codes of practice and/or guidelines.</w:t>
            </w:r>
          </w:p>
          <w:p w:rsidR="00000000" w:rsidRPr="00EC23FE" w:rsidP="00EC23FE">
            <w:pPr>
              <w:pStyle w:val="BodyText"/>
            </w:pPr>
            <w:r w:rsidRPr="00EC23FE">
              <w:t>Work is performed under so</w:t>
            </w:r>
            <w:r w:rsidRPr="00EC23FE">
              <w:t>me supervision, generally in a team environment. It involves the application of routine operational principles and procedures when welding rail using an electric welding process, as part of workplace activities across a variety of operational contexts with</w:t>
            </w:r>
            <w:r w:rsidRPr="00EC23FE">
              <w:t>in the Australian rail system.</w:t>
            </w:r>
          </w:p>
          <w:p w:rsidR="00000000" w:rsidRPr="00EC23FE" w:rsidP="00EC23FE">
            <w:pPr>
              <w:pStyle w:val="BodyText"/>
            </w:pPr>
            <w:r w:rsidRPr="00EC23FE">
              <w:t>Operators of mechanised equipment must have undertaken training and, where appropriate, hold the relevant licence, permit or certificate and be recognised as competent for the class of machinery being used.</w:t>
            </w:r>
          </w:p>
          <w:p w:rsidR="00000000" w:rsidRPr="00EC23FE" w:rsidP="00EC23FE">
            <w:pPr>
              <w:pStyle w:val="BodyText"/>
            </w:pPr>
            <w:r w:rsidRPr="00EC23FE">
              <w:t>No licensing, legi</w:t>
            </w:r>
            <w:r w:rsidRPr="00EC23FE">
              <w:t>slative or certification requirements apply to this unit at the time of publication.</w:t>
            </w:r>
          </w:p>
        </w:tc>
      </w:tr>
    </w:tbl>
    <w:p w:rsidR="00457B41" w:rsidP="00EC23FE">
      <w:pPr>
        <w:pStyle w:val="BodyText"/>
      </w:pPr>
    </w:p>
    <w:p w:rsidR="00457B41" w:rsidP="00EC23FE">
      <w:pPr>
        <w:pStyle w:val="BodyText"/>
      </w:pPr>
    </w:p>
    <w:p w:rsidR="00000000" w:rsidRPr="00EC23FE" w:rsidP="00EC23FE">
      <w:pPr>
        <w:pStyle w:val="Heading1"/>
      </w:pPr>
      <w:bookmarkStart w:id="3" w:name="O_755858"/>
      <w:bookmarkEnd w:id="3"/>
      <w:r w:rsidRPr="00EC23FE">
        <w:t>Pre-requisite Unit</w:t>
      </w:r>
    </w:p>
    <w:p w:rsidR="00000000" w:rsidRPr="00EC23FE" w:rsidP="00457B41">
      <w:pPr>
        <w:pStyle w:val="BodyText"/>
      </w:pPr>
      <w:r w:rsidRPr="00EC23FE">
        <w:t>Not applicable.</w:t>
      </w:r>
    </w:p>
    <w:p w:rsidR="00000000" w:rsidRPr="00EC23FE" w:rsidP="00EC23FE">
      <w:pPr>
        <w:pStyle w:val="Heading1"/>
      </w:pPr>
      <w:bookmarkStart w:id="4" w:name="O_755859"/>
      <w:bookmarkEnd w:id="4"/>
      <w:r w:rsidRPr="00EC23FE">
        <w:t>Competency Field</w:t>
      </w:r>
    </w:p>
    <w:p w:rsidR="00457B41" w:rsidP="00457B41">
      <w:pPr>
        <w:pStyle w:val="BodyText"/>
      </w:pPr>
      <w:r w:rsidRPr="00EC23FE">
        <w:t>W – Equipment and Systems Operations</w:t>
      </w:r>
    </w:p>
    <w:p w:rsidR="00000000" w:rsidRPr="00EC23FE" w:rsidP="00EC23FE">
      <w:pPr>
        <w:pStyle w:val="Heading1"/>
      </w:pPr>
      <w:bookmarkStart w:id="5" w:name="O_755860"/>
      <w:bookmarkEnd w:id="5"/>
      <w:r w:rsidRPr="00EC23FE">
        <w:t>Unit Sector</w:t>
      </w:r>
    </w:p>
    <w:p w:rsidR="00457B41" w:rsidP="00457B41">
      <w:pPr>
        <w:pStyle w:val="BodyText"/>
      </w:pPr>
      <w:r w:rsidRPr="00EC23FE">
        <w:t>Not applicable.</w:t>
      </w:r>
    </w:p>
    <w:p w:rsidR="00000000" w:rsidRPr="00EC23FE" w:rsidP="00EC23FE">
      <w:pPr>
        <w:pStyle w:val="Heading1"/>
      </w:pPr>
      <w:bookmarkStart w:id="6" w:name="O_755861"/>
      <w:bookmarkEnd w:id="6"/>
      <w:r w:rsidRPr="00EC23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PERFORMANCE CRITERIA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Performance criteria describe the performance needed to demonstrate achievement of the element.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Prepare rails, crossings or</w:t>
            </w:r>
            <w:r w:rsidRPr="00EC23FE">
              <w:rPr>
                <w:rStyle w:val="SpecialBold"/>
              </w:rPr>
              <w:t xml:space="preserve"> switches for welding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 repair area is identified and assessed in accordance with standards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Welding equipment and consumables are prepared and checked for serviceability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Hazards are identified, risks are assessed and control measures are implemented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 repair area is prepared for welding in accordance with workplace standards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Track components are assembled or aligned to specification as required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Use non-destructive 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Appropriate non-destructive testing method is selected in accordance with workplace requirements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Non-destructive testing method is used to iden</w:t>
            </w:r>
            <w:r w:rsidRPr="00EC23FE">
              <w:t>tify and locate defects in accordance with rail industry standards and organisational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Assemble and set up welding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Welding equipment is set up and adjusted to meet welding process requirements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Accessories and consumables are selected for use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Assemble and set up gouging and grinding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Gouging and grinding equipment is assembled and set up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Equipment settings are adjusted to meet process requirements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Accessories and consumables are selected for use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Remove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Appropriate method to be used to remove defect is identified in accordance with organisational standards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Defect is removed using identified method in accordance with organisational standards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Perform welding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 metal is applied to repair area to meet specifications in accordance with standards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Welded area</w:t>
            </w:r>
            <w:r w:rsidRPr="00EC23FE">
              <w:t xml:space="preserve"> is cleaned in preparation for grinding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Welded area is ground in accordance with organisational standards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 xml:space="preserve">Check weld </w:t>
            </w:r>
            <w:r w:rsidRPr="00EC23FE">
              <w:rPr>
                <w:rStyle w:val="SpecialBold"/>
              </w:rPr>
              <w:t>conformance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Finished ground weld area is visually inspected for surface finish and defects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Finished ground weld area is checked for conformance to rail, crossing or switch profile acceptance standards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rPr>
                <w:rStyle w:val="SpecialBold"/>
              </w:rPr>
              <w:t>Complete post-operative checks and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Equipment is checked for serviceability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Defective equipment is replaced and reported for servicing or repair in accordance with organisational policies and procedures</w:t>
            </w:r>
          </w:p>
        </w:tc>
      </w:tr>
      <w:tr w:rsidTr="0045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FE">
            <w:pPr>
              <w:pStyle w:val="BodyText"/>
              <w:rPr>
                <w:lang w:val="en-NZ"/>
              </w:rPr>
            </w:pPr>
            <w:r w:rsidRPr="00EC23FE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FE" w:rsidP="00EC23FE">
            <w:pPr>
              <w:pStyle w:val="BodyText"/>
            </w:pPr>
            <w:r w:rsidRPr="00EC23FE">
              <w:t>Documentation on work undertaken is completed and processed in accordance with organisational requirements</w:t>
            </w:r>
          </w:p>
        </w:tc>
      </w:tr>
    </w:tbl>
    <w:p w:rsidR="00457B41" w:rsidP="00EC23FE">
      <w:pPr>
        <w:pStyle w:val="BodyText"/>
      </w:pPr>
    </w:p>
    <w:p w:rsidR="00457B41" w:rsidP="00EC23FE">
      <w:pPr>
        <w:pStyle w:val="BodyText"/>
      </w:pPr>
    </w:p>
    <w:p w:rsidR="00000000" w:rsidRPr="00EC23FE" w:rsidP="00EC23FE">
      <w:pPr>
        <w:pStyle w:val="Heading1"/>
      </w:pPr>
      <w:bookmarkStart w:id="7" w:name="O_755862"/>
      <w:bookmarkEnd w:id="7"/>
      <w:r w:rsidRPr="00EC23FE">
        <w:t>Foundation Skills</w:t>
      </w:r>
    </w:p>
    <w:p w:rsidR="00000000" w:rsidRPr="00EC23FE" w:rsidP="00457B41">
      <w:pPr>
        <w:pStyle w:val="BodyText"/>
      </w:pPr>
      <w:r w:rsidRPr="00EC23FE">
        <w:t>Foundation skills essential to performance are explicit in the performance criteria of this unit of competency.</w:t>
      </w:r>
    </w:p>
    <w:p w:rsidR="00000000" w:rsidRPr="00EC23FE" w:rsidP="00EC23FE">
      <w:pPr>
        <w:pStyle w:val="Heading1"/>
      </w:pPr>
      <w:bookmarkStart w:id="8" w:name="O_755863"/>
      <w:bookmarkEnd w:id="8"/>
      <w:r w:rsidRPr="00EC23FE">
        <w:t>Range of Conditions</w:t>
      </w:r>
    </w:p>
    <w:p w:rsidR="00000000" w:rsidRPr="00EC23FE" w:rsidP="00457B41">
      <w:pPr>
        <w:pStyle w:val="BodyText"/>
      </w:pPr>
      <w:r w:rsidRPr="00EC23FE">
        <w:t>Range is restricted to essential operating conditions and any other variables ess</w:t>
      </w:r>
      <w:r w:rsidRPr="00EC23FE">
        <w:t>ential to the work environment.</w:t>
      </w:r>
    </w:p>
    <w:p w:rsidR="00457B41" w:rsidP="00457B41">
      <w:pPr>
        <w:pStyle w:val="BodyText"/>
      </w:pPr>
      <w:r w:rsidRPr="00EC23FE">
        <w:t>Non-essential conditions can be found in the Companion Volume Implementation Guide.</w:t>
      </w:r>
    </w:p>
    <w:p w:rsidR="00000000" w:rsidRPr="00EC23FE" w:rsidP="00EC23FE">
      <w:pPr>
        <w:pStyle w:val="Heading1"/>
      </w:pPr>
      <w:bookmarkStart w:id="9" w:name="O_755864"/>
      <w:bookmarkEnd w:id="9"/>
      <w:r w:rsidRPr="00EC23FE">
        <w:t>Unit Mapping Information</w:t>
      </w:r>
    </w:p>
    <w:p w:rsidR="00457B41" w:rsidP="00457B41">
      <w:pPr>
        <w:pStyle w:val="BodyText"/>
      </w:pPr>
      <w:r w:rsidRPr="00EC23FE">
        <w:t>This unit replaces and is equivalent to TLIW0036A Apply electric welding process to rail.</w:t>
      </w:r>
    </w:p>
    <w:p w:rsidR="00000000" w:rsidRPr="00EC23FE" w:rsidP="00EC23FE">
      <w:pPr>
        <w:pStyle w:val="Heading1"/>
      </w:pPr>
      <w:bookmarkStart w:id="10" w:name="O_755871"/>
      <w:bookmarkEnd w:id="10"/>
      <w:r w:rsidRPr="00EC23FE">
        <w:t>Links</w:t>
      </w:r>
    </w:p>
    <w:p w:rsidR="00000000" w:rsidRPr="00EC23FE" w:rsidP="00457B41">
      <w:pPr>
        <w:pStyle w:val="BodyText"/>
      </w:pPr>
      <w:r w:rsidRPr="00EC2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5C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C23FE" w:rsidP="00EC23FE"/>
    <w:sectPr w:rsidSect="00EC2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FE" w:rsidRPr="00457B41" w:rsidP="00457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41" w:rsidP="00EC2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B41" w:rsidP="00EC2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7B41" w:rsidP="00EC2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3FE" w:rsidRPr="00457B41" w:rsidP="00457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41" w:rsidRPr="002D2AF8" w:rsidP="00EC2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TLIW0036 Apply electric welding process to rail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57B41" w:rsidP="00EC2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3FE"/>
  </w:style>
  <w:style w:type="character" w:customStyle="1" w:styleId="Heading1Char">
    <w:name w:val="Heading 1 Char"/>
    <w:basedOn w:val="DefaultParagraphFont"/>
    <w:link w:val="Heading1"/>
    <w:rsid w:val="00EC2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3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23FE"/>
    <w:rPr>
      <w:b/>
      <w:spacing w:val="0"/>
    </w:rPr>
  </w:style>
  <w:style w:type="paragraph" w:customStyle="1" w:styleId="SuperHeading">
    <w:name w:val="SuperHeading"/>
    <w:basedOn w:val="Normal"/>
    <w:rsid w:val="00EC2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3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23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2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3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3FE"/>
    <w:rPr>
      <w:i/>
    </w:rPr>
  </w:style>
  <w:style w:type="paragraph" w:styleId="Caption">
    <w:name w:val="caption"/>
    <w:basedOn w:val="BodyText"/>
    <w:next w:val="Normal"/>
    <w:qFormat/>
    <w:rsid w:val="00EC2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3FE"/>
  </w:style>
  <w:style w:type="paragraph" w:styleId="TableofFigures">
    <w:name w:val="table of figures"/>
    <w:basedOn w:val="Normal"/>
    <w:next w:val="Normal"/>
    <w:semiHidden/>
    <w:rsid w:val="00EC2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3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23FE"/>
    <w:rPr>
      <w:rFonts w:ascii="Wingdings" w:hAnsi="Wingdings"/>
    </w:rPr>
  </w:style>
  <w:style w:type="paragraph" w:customStyle="1" w:styleId="TableHeading">
    <w:name w:val="Table Heading"/>
    <w:basedOn w:val="HeadingBase"/>
    <w:rsid w:val="00EC2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3FE"/>
    <w:rPr>
      <w:color w:val="0033CC"/>
      <w:u w:val="none"/>
    </w:rPr>
  </w:style>
  <w:style w:type="paragraph" w:customStyle="1" w:styleId="BodyTextRight">
    <w:name w:val="Body Text Right"/>
    <w:basedOn w:val="BodyText"/>
    <w:rsid w:val="00EC2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3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3FE"/>
    <w:rPr>
      <w:sz w:val="32"/>
    </w:rPr>
  </w:style>
  <w:style w:type="paragraph" w:customStyle="1" w:styleId="HeadingProcedure">
    <w:name w:val="Heading Procedure"/>
    <w:basedOn w:val="HeadingBase"/>
    <w:next w:val="Normal"/>
    <w:rsid w:val="00EC2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3FE"/>
    <w:pPr>
      <w:spacing w:before="60" w:after="60"/>
    </w:pPr>
  </w:style>
  <w:style w:type="paragraph" w:styleId="ListContinue">
    <w:name w:val="List Continue"/>
    <w:basedOn w:val="List"/>
    <w:rsid w:val="00EC23FE"/>
    <w:pPr>
      <w:ind w:firstLine="0"/>
    </w:pPr>
  </w:style>
  <w:style w:type="paragraph" w:customStyle="1" w:styleId="ListNote">
    <w:name w:val="List Note"/>
    <w:basedOn w:val="List"/>
    <w:rsid w:val="00EC2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3FE"/>
    <w:rPr>
      <w:rFonts w:ascii="Courier New" w:hAnsi="Courier New"/>
    </w:rPr>
  </w:style>
  <w:style w:type="paragraph" w:customStyle="1" w:styleId="NoteBullet">
    <w:name w:val="Note Bullet"/>
    <w:basedOn w:val="Note"/>
    <w:rsid w:val="00EC2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3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2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3FE"/>
    <w:rPr>
      <w:b/>
      <w:smallCaps/>
    </w:rPr>
  </w:style>
  <w:style w:type="paragraph" w:customStyle="1" w:styleId="TableListNumber">
    <w:name w:val="Table List Number"/>
    <w:basedOn w:val="ListNumber"/>
    <w:rsid w:val="00EC2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3FE"/>
    <w:pPr>
      <w:numPr>
        <w:numId w:val="7"/>
      </w:numPr>
    </w:pPr>
  </w:style>
  <w:style w:type="paragraph" w:customStyle="1" w:styleId="ListAlpha2">
    <w:name w:val="List Alpha 2"/>
    <w:basedOn w:val="List2"/>
    <w:rsid w:val="00EC23FE"/>
    <w:pPr>
      <w:numPr>
        <w:numId w:val="6"/>
      </w:numPr>
    </w:pPr>
  </w:style>
  <w:style w:type="paragraph" w:styleId="List2">
    <w:name w:val="List 2"/>
    <w:basedOn w:val="BodyText"/>
    <w:rsid w:val="00EC2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3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3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23FE"/>
    <w:pPr>
      <w:numPr>
        <w:numId w:val="2"/>
      </w:numPr>
    </w:pPr>
  </w:style>
  <w:style w:type="paragraph" w:styleId="ListContinue2">
    <w:name w:val="List Continue 2"/>
    <w:basedOn w:val="List2"/>
    <w:rsid w:val="00EC23FE"/>
    <w:pPr>
      <w:ind w:firstLine="0"/>
    </w:pPr>
  </w:style>
  <w:style w:type="paragraph" w:styleId="ListContinue3">
    <w:name w:val="List Continue 3"/>
    <w:basedOn w:val="List3"/>
    <w:rsid w:val="00EC23FE"/>
    <w:pPr>
      <w:ind w:left="1021" w:firstLine="0"/>
    </w:pPr>
  </w:style>
  <w:style w:type="paragraph" w:styleId="ListContinue4">
    <w:name w:val="List Continue 4"/>
    <w:basedOn w:val="List4"/>
    <w:rsid w:val="00EC23FE"/>
    <w:pPr>
      <w:ind w:firstLine="0"/>
    </w:pPr>
  </w:style>
  <w:style w:type="paragraph" w:styleId="ListContinue5">
    <w:name w:val="List Continue 5"/>
    <w:basedOn w:val="List5"/>
    <w:rsid w:val="00EC23FE"/>
    <w:pPr>
      <w:ind w:firstLine="0"/>
    </w:pPr>
  </w:style>
  <w:style w:type="paragraph" w:styleId="ListNumber3">
    <w:name w:val="List Number 3"/>
    <w:basedOn w:val="List3"/>
    <w:rsid w:val="00EC23FE"/>
    <w:pPr>
      <w:numPr>
        <w:numId w:val="3"/>
      </w:numPr>
    </w:pPr>
  </w:style>
  <w:style w:type="paragraph" w:styleId="ListNumber4">
    <w:name w:val="List Number 4"/>
    <w:basedOn w:val="List4"/>
    <w:rsid w:val="00EC23FE"/>
    <w:pPr>
      <w:numPr>
        <w:numId w:val="4"/>
      </w:numPr>
    </w:pPr>
  </w:style>
  <w:style w:type="paragraph" w:styleId="ListNumber5">
    <w:name w:val="List Number 5"/>
    <w:basedOn w:val="List5"/>
    <w:rsid w:val="00EC23FE"/>
    <w:pPr>
      <w:numPr>
        <w:numId w:val="5"/>
      </w:numPr>
    </w:pPr>
  </w:style>
  <w:style w:type="paragraph" w:styleId="BlockText">
    <w:name w:val="Block Text"/>
    <w:basedOn w:val="Normal"/>
    <w:rsid w:val="00EC2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3FE"/>
    <w:rPr>
      <w:sz w:val="16"/>
      <w:vertAlign w:val="superscript"/>
    </w:rPr>
  </w:style>
  <w:style w:type="character" w:customStyle="1" w:styleId="Symbols">
    <w:name w:val="Symbols"/>
    <w:basedOn w:val="DefaultParagraphFont"/>
    <w:rsid w:val="00EC23FE"/>
    <w:rPr>
      <w:rFonts w:ascii="Symbol" w:hAnsi="Symbol"/>
    </w:rPr>
  </w:style>
  <w:style w:type="character" w:customStyle="1" w:styleId="MenuOptions">
    <w:name w:val="Menu Options"/>
    <w:basedOn w:val="DefaultParagraphFont"/>
    <w:rsid w:val="00EC2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3FE"/>
    <w:rPr>
      <w:b/>
    </w:rPr>
  </w:style>
  <w:style w:type="character" w:customStyle="1" w:styleId="Underlined">
    <w:name w:val="Underlined"/>
    <w:basedOn w:val="DefaultParagraphFont"/>
    <w:rsid w:val="00EC23FE"/>
    <w:rPr>
      <w:u w:val="single"/>
    </w:rPr>
  </w:style>
  <w:style w:type="paragraph" w:customStyle="1" w:styleId="TableBodyTextRight">
    <w:name w:val="Table Body Text Right"/>
    <w:basedOn w:val="TableBodyText"/>
    <w:rsid w:val="00EC2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3FE"/>
    <w:rPr>
      <w:sz w:val="18"/>
    </w:rPr>
  </w:style>
  <w:style w:type="paragraph" w:customStyle="1" w:styleId="BodySmallRight">
    <w:name w:val="Body Small Right"/>
    <w:basedOn w:val="BodyTextRight"/>
    <w:rsid w:val="00EC23FE"/>
    <w:rPr>
      <w:sz w:val="18"/>
      <w:szCs w:val="18"/>
    </w:rPr>
  </w:style>
  <w:style w:type="paragraph" w:customStyle="1" w:styleId="MarginEdition">
    <w:name w:val="Margin Edition"/>
    <w:basedOn w:val="MarginNote"/>
    <w:rsid w:val="00EC2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3FE"/>
    <w:rPr>
      <w:sz w:val="2"/>
      <w:szCs w:val="2"/>
    </w:rPr>
  </w:style>
  <w:style w:type="character" w:customStyle="1" w:styleId="Small">
    <w:name w:val="Small"/>
    <w:basedOn w:val="DefaultParagraphFont"/>
    <w:rsid w:val="00EC23FE"/>
    <w:rPr>
      <w:sz w:val="16"/>
    </w:rPr>
  </w:style>
  <w:style w:type="paragraph" w:customStyle="1" w:styleId="WideTable">
    <w:name w:val="Wide Table"/>
    <w:basedOn w:val="Normal"/>
    <w:rsid w:val="00EC2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3FE"/>
  </w:style>
  <w:style w:type="paragraph" w:styleId="Quote">
    <w:name w:val="Quote"/>
    <w:basedOn w:val="Heading1"/>
    <w:link w:val="QuoteChar"/>
    <w:qFormat/>
    <w:rsid w:val="00EC2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3FE"/>
    <w:pPr>
      <w:pageBreakBefore/>
    </w:pPr>
  </w:style>
  <w:style w:type="paragraph" w:customStyle="1" w:styleId="Border">
    <w:name w:val="Border"/>
    <w:basedOn w:val="Normal"/>
    <w:qFormat/>
    <w:rsid w:val="00EC2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3FE"/>
    <w:rPr>
      <w:u w:val="single"/>
    </w:rPr>
  </w:style>
  <w:style w:type="character" w:customStyle="1" w:styleId="BoldandItalics">
    <w:name w:val="Bold and Italics"/>
    <w:qFormat/>
    <w:rsid w:val="00EC23FE"/>
    <w:rPr>
      <w:b/>
      <w:i/>
      <w:u w:val="none"/>
    </w:rPr>
  </w:style>
  <w:style w:type="paragraph" w:styleId="BalloonText">
    <w:name w:val="Balloon Text"/>
    <w:basedOn w:val="Normal"/>
    <w:link w:val="BalloonTextChar"/>
    <w:rsid w:val="00EC2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3FE"/>
    <w:pPr>
      <w:spacing w:before="0" w:after="0"/>
    </w:pPr>
  </w:style>
  <w:style w:type="paragraph" w:customStyle="1" w:styleId="BodyTextBold">
    <w:name w:val="Body Text Bold"/>
    <w:basedOn w:val="BodyText"/>
    <w:qFormat/>
    <w:rsid w:val="00EC23FE"/>
    <w:rPr>
      <w:b/>
    </w:rPr>
  </w:style>
  <w:style w:type="character" w:styleId="Hyperlink">
    <w:name w:val="Hyperlink"/>
    <w:basedOn w:val="DefaultParagraphFont"/>
    <w:uiPriority w:val="99"/>
    <w:unhideWhenUsed/>
    <w:rsid w:val="00457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4398</Characters>
  <Application>Microsoft Office Word</Application>
  <DocSecurity>0</DocSecurity>
  <Lines>175</Lines>
  <Paragraphs>111</Paragraphs>
  <ScaleCrop>false</ScaleCrop>
  <Company>Author-it Software Corporation Ltd.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TLIW0036 Apply electric welding process to rail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