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102" w:rsidP="00D57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TLIW0006 Heat and cut materials using oxy-LPG equipment for the rail industry</w:t>
      </w:r>
      <w:r>
        <w:fldChar w:fldCharType="end"/>
      </w:r>
    </w:p>
    <w:p w:rsidR="00D57102" w:rsidP="00D57102">
      <w:pPr>
        <w:pStyle w:val="Version"/>
        <w:sectPr w:rsidSect="00A13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EBC" w:rsidP="00A13EBC">
      <w:pPr>
        <w:pStyle w:val="SuperHeading"/>
      </w:pPr>
      <w:r w:rsidRPr="00A13EBC">
        <w:t>TLIW0006 Heat and cut materials using oxy-LPG equipment for the rail industry</w:t>
      </w:r>
    </w:p>
    <w:p w:rsidR="00000000" w:rsidRPr="00A13EBC" w:rsidP="00A13EBC">
      <w:pPr>
        <w:pStyle w:val="Heading1"/>
      </w:pPr>
      <w:bookmarkStart w:id="1" w:name="O_1120979"/>
      <w:bookmarkEnd w:id="1"/>
      <w:r w:rsidRPr="00A13E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Release 1. This is the first release of this unit of competency in the TLI Transport and Logistics Training Package.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2" w:name="O_1120980"/>
      <w:bookmarkEnd w:id="2"/>
      <w:r w:rsidRPr="00A13E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This unit involves the skills and knowledge required to heat and cut materials for the rail industry using oxy-LPG equipment.</w:t>
            </w:r>
          </w:p>
          <w:p w:rsidR="00000000" w:rsidRPr="00A13EBC" w:rsidP="00A13EBC">
            <w:pPr>
              <w:pStyle w:val="BodyText"/>
            </w:pPr>
            <w:r w:rsidRPr="00A13EBC">
              <w:t>It includes planning and preparing for work, setting up and testing the equipment, heating and cutting materials, shut</w:t>
            </w:r>
            <w:r w:rsidRPr="00A13EBC">
              <w:t>ting down equipment and completing clean-up activities.</w:t>
            </w:r>
          </w:p>
          <w:p w:rsidR="00000000" w:rsidRPr="00A13EBC" w:rsidP="00A13EBC">
            <w:pPr>
              <w:pStyle w:val="BodyText"/>
            </w:pPr>
            <w:r w:rsidRPr="00A13EBC">
              <w:t>People achieving competence in this unit will need to fulfil applicable state/territory legislated work health and safety (WHS)/occupational health and safety (OHS) requirements and rail safety requir</w:t>
            </w:r>
            <w:r w:rsidRPr="00A13EBC">
              <w:t>ements, and to comply with relevant codes of practice and/or guidelines.</w:t>
            </w:r>
          </w:p>
          <w:p w:rsidR="00000000" w:rsidRPr="00A13EBC" w:rsidP="00A13EBC">
            <w:pPr>
              <w:pStyle w:val="BodyText"/>
            </w:pPr>
            <w:r w:rsidRPr="00A13EBC">
              <w:t>Work involves heating and cutting steel and includes cutting up waste for salvage; cutting steel, rails and bolts; and cutting holes in plate (with the exception of structural steel m</w:t>
            </w:r>
            <w:r w:rsidRPr="00A13EBC">
              <w:t>embers). Heating activities include steel and bolts (excluding structural steel members).</w:t>
            </w:r>
          </w:p>
          <w:p w:rsidR="00000000" w:rsidRPr="00A13EBC" w:rsidP="00A13EBC">
            <w:pPr>
              <w:pStyle w:val="BodyText"/>
            </w:pPr>
            <w:r w:rsidRPr="00A13EBC">
              <w:t>No licensing, legislative or certification requirements apply to this unit at the time of publication.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3" w:name="O_1120981"/>
      <w:bookmarkEnd w:id="3"/>
      <w:r w:rsidRPr="00A13E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Not applicable.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4" w:name="O_1120982"/>
      <w:bookmarkEnd w:id="4"/>
      <w:r w:rsidRPr="00A13E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W – Equipment and Systems Operations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5" w:name="O_1120983"/>
      <w:bookmarkEnd w:id="5"/>
      <w:r w:rsidRPr="00A13E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Rail sector.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6" w:name="O_1120984"/>
      <w:bookmarkEnd w:id="6"/>
      <w:r w:rsidRPr="00A13EB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PERFORMANCE CRITERIA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Performance criteria describe the performance needed to demonstrate achievement of the element.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Work instructions, including plans, specifications, quality requirements and operational details are obtained, confirmed and a</w:t>
            </w:r>
            <w:r w:rsidRPr="00A13EBC">
              <w:t>pplied to the scope of work to be performed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Safety and WHS/OHS requirements are followed in accordance with safety plans and organisational policies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Signage and barricade requirements are identified and implemented as required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Plant, tools and equipment consistent with the requirements of the job are selected, checked for serviceability, and faults are rectified or reported prior to commencement and tagged out of service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Tools appropriate to the work application are ident</w:t>
            </w:r>
            <w:r w:rsidRPr="00A13EBC">
              <w:t>ified, obtained, prepared, safely handled and transported to worksite location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Materials appropriate to the work application are identified, obtained, prepared, safely handled and located ready for use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Environmental requirements are identifie</w:t>
            </w:r>
            <w:r w:rsidRPr="00A13EBC">
              <w:t>d and work is carried out in accordance with environmental plans, and statutory and legislative authority obligations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Set up and test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Appropriate type of fire extinguisher is selected and located to be readily accessible prior to and during operations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Regulators are attached to oxy-LPG bottles in accordance with manufacturer specifications and WHS/OHS regulations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 xml:space="preserve">Lines are </w:t>
            </w:r>
            <w:r w:rsidRPr="00A13EBC">
              <w:t>purged to manufacturer recommendations prior to lighting up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Equipment is tested for leaks and corrective action is undertaken or faults are reported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Correct pressures and cutting tips are selected in accordance with material to be heated or cut and manufacturer specifications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Heat and cut material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Material is accurately marked and secured or clamped ready for cutting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Torch is lit correctl</w:t>
            </w:r>
            <w:r w:rsidRPr="00A13EBC">
              <w:t>y and safely in accordance with manufacturer specifications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Setting of flame is adjusted for cutting in accordance with manufacturer recommendations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Heat is applied to specified material and weakening effects of the heating process are minimised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Correct cutting position is adopted during cutting to set out mark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Material is correctly cooled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Shut down equipment and clean 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 xml:space="preserve">Torch is </w:t>
            </w:r>
            <w:r w:rsidRPr="00A13EBC">
              <w:t>switched off in accordance with manufacturer specifications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Gas supply is shut off in accordance with manufacturer specifications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Work area is cleared and materials disposed of, reused or recycled in accordance with legislation, regulations, codes of practice and job specification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Plant, tools and equipment are cleaned, checked, maintained and stored in accordance with manufac</w:t>
            </w:r>
            <w:r w:rsidRPr="00A13EBC">
              <w:t>turer recommendations and organisational policies and procedures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Required documentation procedures and processes are confirmed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t>Documentation is filled in legibly and proofread</w:t>
            </w:r>
          </w:p>
        </w:tc>
      </w:tr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EBC">
            <w:pPr>
              <w:pStyle w:val="BodyText"/>
              <w:rPr>
                <w:lang w:val="en-NZ"/>
              </w:rPr>
            </w:pPr>
            <w:r w:rsidRPr="00A13EB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Documentation is processed in a</w:t>
            </w:r>
            <w:r w:rsidRPr="00A13EBC">
              <w:t>ccordance with workplace procedures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7" w:name="O_1120985"/>
      <w:bookmarkEnd w:id="7"/>
      <w:r w:rsidRPr="00A13E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Foundation skills essential to performance are explicit in the performance criteria of this unit of competency.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8" w:name="O_1120986"/>
      <w:bookmarkEnd w:id="8"/>
      <w:r w:rsidRPr="00A13E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Range is restricted to essen</w:t>
            </w:r>
            <w:r w:rsidRPr="00A13EBC">
              <w:t>tial operating conditions and any other variables essential to the work environment.</w:t>
            </w:r>
          </w:p>
          <w:p w:rsidR="00000000" w:rsidRPr="00A13EBC" w:rsidP="00A13EBC">
            <w:pPr>
              <w:pStyle w:val="BodyText"/>
            </w:pPr>
            <w:r w:rsidRPr="00A13EBC">
              <w:t>Non-essential conditions can be found in the TLI Transport and Logistics Training Package Companion Volume Implementation Guide.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9" w:name="O_1120987"/>
      <w:bookmarkEnd w:id="9"/>
      <w:r w:rsidRPr="00A13EBC">
        <w:t>Unit Mapping Informat</w:t>
      </w:r>
      <w:r w:rsidRPr="00A13EBC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E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EBC" w:rsidP="00A13EBC">
            <w:pPr>
              <w:pStyle w:val="BodyText"/>
            </w:pPr>
            <w:r w:rsidRPr="00A13EBC">
              <w:t>This unit replaces and is equivalent to TLIW3035 Heat and cut materials using oxy-LPG equipment for the rail industry.</w:t>
            </w:r>
          </w:p>
        </w:tc>
      </w:tr>
    </w:tbl>
    <w:p w:rsidR="00000000" w:rsidRPr="00A13EBC" w:rsidP="00A13EBC">
      <w:pPr>
        <w:pStyle w:val="NoPaddingFontSize1"/>
      </w:pPr>
    </w:p>
    <w:p w:rsidR="00000000" w:rsidRPr="00A13EBC" w:rsidP="00A13EBC">
      <w:pPr>
        <w:pStyle w:val="AllowPageBreak"/>
      </w:pPr>
    </w:p>
    <w:p w:rsidR="00000000" w:rsidRPr="00A13EBC" w:rsidP="00A13EBC">
      <w:pPr>
        <w:pStyle w:val="Heading1"/>
      </w:pPr>
      <w:bookmarkStart w:id="10" w:name="O_1120994"/>
      <w:bookmarkEnd w:id="10"/>
      <w:r w:rsidRPr="00A13EBC">
        <w:t>Links</w:t>
      </w:r>
    </w:p>
    <w:p w:rsidR="00000000" w:rsidRPr="00A13EBC" w:rsidP="00D57102">
      <w:pPr>
        <w:pStyle w:val="BodyText"/>
      </w:pPr>
      <w:r w:rsidRPr="00A13E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30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3EBC" w:rsidP="00A13EBC"/>
    <w:sectPr w:rsidSect="00A13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BC" w:rsidRPr="00D57102" w:rsidP="00D57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02" w:rsidP="00A13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102" w:rsidP="00A13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57102" w:rsidP="00A13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EBC" w:rsidRPr="00D57102" w:rsidP="00D57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02" w:rsidRPr="002D2AF8" w:rsidP="00A13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TLIW0006 Heat and cut materials using oxy-LPG equipment for the rail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57102" w:rsidP="00A13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EBC"/>
  </w:style>
  <w:style w:type="character" w:customStyle="1" w:styleId="Heading1Char">
    <w:name w:val="Heading 1 Char"/>
    <w:basedOn w:val="DefaultParagraphFont"/>
    <w:link w:val="Heading1"/>
    <w:rsid w:val="00A13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E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3EBC"/>
    <w:rPr>
      <w:b/>
      <w:spacing w:val="0"/>
    </w:rPr>
  </w:style>
  <w:style w:type="paragraph" w:customStyle="1" w:styleId="SuperHeading">
    <w:name w:val="SuperHeading"/>
    <w:basedOn w:val="Normal"/>
    <w:rsid w:val="00A13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3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E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3E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3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E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EBC"/>
    <w:rPr>
      <w:i/>
    </w:rPr>
  </w:style>
  <w:style w:type="paragraph" w:styleId="Caption">
    <w:name w:val="caption"/>
    <w:basedOn w:val="BodyText"/>
    <w:next w:val="Normal"/>
    <w:qFormat/>
    <w:rsid w:val="00A13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EBC"/>
  </w:style>
  <w:style w:type="paragraph" w:styleId="TableofFigures">
    <w:name w:val="table of figures"/>
    <w:basedOn w:val="Normal"/>
    <w:next w:val="Normal"/>
    <w:semiHidden/>
    <w:rsid w:val="00A13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E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3EBC"/>
    <w:rPr>
      <w:rFonts w:ascii="Wingdings" w:hAnsi="Wingdings"/>
    </w:rPr>
  </w:style>
  <w:style w:type="paragraph" w:customStyle="1" w:styleId="TableHeading">
    <w:name w:val="Table Heading"/>
    <w:basedOn w:val="HeadingBase"/>
    <w:rsid w:val="00A13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EBC"/>
    <w:rPr>
      <w:color w:val="0033CC"/>
      <w:u w:val="none"/>
    </w:rPr>
  </w:style>
  <w:style w:type="paragraph" w:customStyle="1" w:styleId="BodyTextRight">
    <w:name w:val="Body Text Right"/>
    <w:basedOn w:val="BodyText"/>
    <w:rsid w:val="00A13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E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EBC"/>
    <w:rPr>
      <w:sz w:val="32"/>
    </w:rPr>
  </w:style>
  <w:style w:type="paragraph" w:customStyle="1" w:styleId="HeadingProcedure">
    <w:name w:val="Heading Procedure"/>
    <w:basedOn w:val="HeadingBase"/>
    <w:next w:val="Normal"/>
    <w:rsid w:val="00A13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EBC"/>
    <w:pPr>
      <w:spacing w:before="60" w:after="60"/>
    </w:pPr>
  </w:style>
  <w:style w:type="paragraph" w:styleId="ListContinue">
    <w:name w:val="List Continue"/>
    <w:basedOn w:val="List"/>
    <w:rsid w:val="00A13EBC"/>
    <w:pPr>
      <w:ind w:firstLine="0"/>
    </w:pPr>
  </w:style>
  <w:style w:type="paragraph" w:customStyle="1" w:styleId="ListNote">
    <w:name w:val="List Note"/>
    <w:basedOn w:val="List"/>
    <w:rsid w:val="00A13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EBC"/>
    <w:rPr>
      <w:rFonts w:ascii="Courier New" w:hAnsi="Courier New"/>
    </w:rPr>
  </w:style>
  <w:style w:type="paragraph" w:customStyle="1" w:styleId="NoteBullet">
    <w:name w:val="Note Bullet"/>
    <w:basedOn w:val="Note"/>
    <w:rsid w:val="00A13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E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3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EBC"/>
    <w:rPr>
      <w:b/>
      <w:smallCaps/>
    </w:rPr>
  </w:style>
  <w:style w:type="paragraph" w:customStyle="1" w:styleId="TableListNumber">
    <w:name w:val="Table List Number"/>
    <w:basedOn w:val="ListNumber"/>
    <w:rsid w:val="00A13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EBC"/>
    <w:pPr>
      <w:numPr>
        <w:numId w:val="7"/>
      </w:numPr>
    </w:pPr>
  </w:style>
  <w:style w:type="paragraph" w:customStyle="1" w:styleId="ListAlpha2">
    <w:name w:val="List Alpha 2"/>
    <w:basedOn w:val="List2"/>
    <w:rsid w:val="00A13EBC"/>
    <w:pPr>
      <w:numPr>
        <w:numId w:val="6"/>
      </w:numPr>
    </w:pPr>
  </w:style>
  <w:style w:type="paragraph" w:styleId="List2">
    <w:name w:val="List 2"/>
    <w:basedOn w:val="BodyText"/>
    <w:rsid w:val="00A13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E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E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3EBC"/>
    <w:pPr>
      <w:numPr>
        <w:numId w:val="2"/>
      </w:numPr>
    </w:pPr>
  </w:style>
  <w:style w:type="paragraph" w:styleId="ListContinue2">
    <w:name w:val="List Continue 2"/>
    <w:basedOn w:val="List2"/>
    <w:rsid w:val="00A13EBC"/>
    <w:pPr>
      <w:ind w:firstLine="0"/>
    </w:pPr>
  </w:style>
  <w:style w:type="paragraph" w:styleId="ListContinue3">
    <w:name w:val="List Continue 3"/>
    <w:basedOn w:val="List3"/>
    <w:rsid w:val="00A13EBC"/>
    <w:pPr>
      <w:ind w:left="1021" w:firstLine="0"/>
    </w:pPr>
  </w:style>
  <w:style w:type="paragraph" w:styleId="ListContinue4">
    <w:name w:val="List Continue 4"/>
    <w:basedOn w:val="List4"/>
    <w:rsid w:val="00A13EBC"/>
    <w:pPr>
      <w:ind w:firstLine="0"/>
    </w:pPr>
  </w:style>
  <w:style w:type="paragraph" w:styleId="ListContinue5">
    <w:name w:val="List Continue 5"/>
    <w:basedOn w:val="List5"/>
    <w:rsid w:val="00A13EBC"/>
    <w:pPr>
      <w:ind w:firstLine="0"/>
    </w:pPr>
  </w:style>
  <w:style w:type="paragraph" w:styleId="ListNumber3">
    <w:name w:val="List Number 3"/>
    <w:basedOn w:val="List3"/>
    <w:rsid w:val="00A13EBC"/>
    <w:pPr>
      <w:numPr>
        <w:numId w:val="3"/>
      </w:numPr>
    </w:pPr>
  </w:style>
  <w:style w:type="paragraph" w:styleId="ListNumber4">
    <w:name w:val="List Number 4"/>
    <w:basedOn w:val="List4"/>
    <w:rsid w:val="00A13EBC"/>
    <w:pPr>
      <w:numPr>
        <w:numId w:val="4"/>
      </w:numPr>
    </w:pPr>
  </w:style>
  <w:style w:type="paragraph" w:styleId="ListNumber5">
    <w:name w:val="List Number 5"/>
    <w:basedOn w:val="List5"/>
    <w:rsid w:val="00A13EBC"/>
    <w:pPr>
      <w:numPr>
        <w:numId w:val="5"/>
      </w:numPr>
    </w:pPr>
  </w:style>
  <w:style w:type="paragraph" w:styleId="BlockText">
    <w:name w:val="Block Text"/>
    <w:basedOn w:val="Normal"/>
    <w:rsid w:val="00A13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EBC"/>
    <w:rPr>
      <w:sz w:val="16"/>
      <w:vertAlign w:val="superscript"/>
    </w:rPr>
  </w:style>
  <w:style w:type="character" w:customStyle="1" w:styleId="Symbols">
    <w:name w:val="Symbols"/>
    <w:basedOn w:val="DefaultParagraphFont"/>
    <w:rsid w:val="00A13EBC"/>
    <w:rPr>
      <w:rFonts w:ascii="Symbol" w:hAnsi="Symbol"/>
    </w:rPr>
  </w:style>
  <w:style w:type="character" w:customStyle="1" w:styleId="MenuOptions">
    <w:name w:val="Menu Options"/>
    <w:basedOn w:val="DefaultParagraphFont"/>
    <w:rsid w:val="00A13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EBC"/>
    <w:rPr>
      <w:b/>
    </w:rPr>
  </w:style>
  <w:style w:type="character" w:customStyle="1" w:styleId="Underlined">
    <w:name w:val="Underlined"/>
    <w:basedOn w:val="DefaultParagraphFont"/>
    <w:rsid w:val="00A13EBC"/>
    <w:rPr>
      <w:u w:val="single"/>
    </w:rPr>
  </w:style>
  <w:style w:type="paragraph" w:customStyle="1" w:styleId="TableBodyTextRight">
    <w:name w:val="Table Body Text Right"/>
    <w:basedOn w:val="TableBodyText"/>
    <w:rsid w:val="00A13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EBC"/>
    <w:rPr>
      <w:sz w:val="18"/>
    </w:rPr>
  </w:style>
  <w:style w:type="paragraph" w:customStyle="1" w:styleId="BodySmallRight">
    <w:name w:val="Body Small Right"/>
    <w:basedOn w:val="BodyTextRight"/>
    <w:rsid w:val="00A13EBC"/>
    <w:rPr>
      <w:sz w:val="18"/>
      <w:szCs w:val="18"/>
    </w:rPr>
  </w:style>
  <w:style w:type="paragraph" w:customStyle="1" w:styleId="MarginEdition">
    <w:name w:val="Margin Edition"/>
    <w:basedOn w:val="MarginNote"/>
    <w:rsid w:val="00A13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EBC"/>
    <w:rPr>
      <w:sz w:val="2"/>
      <w:szCs w:val="2"/>
    </w:rPr>
  </w:style>
  <w:style w:type="character" w:customStyle="1" w:styleId="Small">
    <w:name w:val="Small"/>
    <w:basedOn w:val="DefaultParagraphFont"/>
    <w:rsid w:val="00A13EBC"/>
    <w:rPr>
      <w:sz w:val="16"/>
    </w:rPr>
  </w:style>
  <w:style w:type="paragraph" w:customStyle="1" w:styleId="WideTable">
    <w:name w:val="Wide Table"/>
    <w:basedOn w:val="Normal"/>
    <w:rsid w:val="00A13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EBC"/>
  </w:style>
  <w:style w:type="paragraph" w:styleId="Quote">
    <w:name w:val="Quote"/>
    <w:basedOn w:val="Heading1"/>
    <w:link w:val="QuoteChar"/>
    <w:qFormat/>
    <w:rsid w:val="00A13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EBC"/>
    <w:pPr>
      <w:pageBreakBefore/>
    </w:pPr>
  </w:style>
  <w:style w:type="paragraph" w:customStyle="1" w:styleId="Border">
    <w:name w:val="Border"/>
    <w:basedOn w:val="Normal"/>
    <w:qFormat/>
    <w:rsid w:val="00A13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EBC"/>
    <w:rPr>
      <w:u w:val="single"/>
    </w:rPr>
  </w:style>
  <w:style w:type="character" w:customStyle="1" w:styleId="BoldandItalics">
    <w:name w:val="Bold and Italics"/>
    <w:qFormat/>
    <w:rsid w:val="00A13EBC"/>
    <w:rPr>
      <w:b/>
      <w:i/>
      <w:u w:val="none"/>
    </w:rPr>
  </w:style>
  <w:style w:type="paragraph" w:styleId="BalloonText">
    <w:name w:val="Balloon Text"/>
    <w:basedOn w:val="Normal"/>
    <w:link w:val="BalloonTextChar"/>
    <w:rsid w:val="00A13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EBC"/>
    <w:pPr>
      <w:spacing w:before="0" w:after="0"/>
    </w:pPr>
  </w:style>
  <w:style w:type="paragraph" w:customStyle="1" w:styleId="BodyTextBold">
    <w:name w:val="Body Text Bold"/>
    <w:basedOn w:val="BodyText"/>
    <w:qFormat/>
    <w:rsid w:val="00A13EBC"/>
    <w:rPr>
      <w:b/>
    </w:rPr>
  </w:style>
  <w:style w:type="character" w:styleId="Hyperlink">
    <w:name w:val="Hyperlink"/>
    <w:basedOn w:val="DefaultParagraphFont"/>
    <w:uiPriority w:val="99"/>
    <w:unhideWhenUsed/>
    <w:rsid w:val="00D57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4567</Characters>
  <Application>Microsoft Office Word</Application>
  <DocSecurity>0</DocSecurity>
  <Lines>217</Lines>
  <Paragraphs>110</Paragraphs>
  <ScaleCrop>false</ScaleCrop>
  <Company>Author-it Software Corporation Ltd.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TLIW0006 Heat and cut materials using oxy-LPG equipment for the rail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