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70BC" w:rsidP="009670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TLIW0001 Apply rail grinding fundamentals</w:t>
      </w:r>
      <w:r>
        <w:fldChar w:fldCharType="end"/>
      </w:r>
    </w:p>
    <w:p w:rsidR="009670BC" w:rsidP="009670BC">
      <w:pPr>
        <w:pStyle w:val="Version"/>
        <w:sectPr w:rsidSect="00A515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15B5" w:rsidP="00A515B5">
      <w:pPr>
        <w:pStyle w:val="SuperHeading"/>
      </w:pPr>
      <w:r w:rsidRPr="00A515B5">
        <w:t>TLIW0001 Apply rail grinding fundamentals</w:t>
      </w:r>
    </w:p>
    <w:p w:rsidR="00000000" w:rsidRPr="00A515B5" w:rsidP="00A515B5">
      <w:pPr>
        <w:pStyle w:val="Heading1"/>
      </w:pPr>
      <w:bookmarkStart w:id="1" w:name="O_1120884"/>
      <w:bookmarkEnd w:id="1"/>
      <w:r w:rsidRPr="00A515B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1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B5" w:rsidP="00A515B5">
            <w:pPr>
              <w:pStyle w:val="BodyText"/>
            </w:pPr>
            <w:r w:rsidRPr="00A515B5">
              <w:t>Release 1. This is the first release of this unit of competency in the TLI Transport and Logistics Training Package.</w:t>
            </w:r>
          </w:p>
        </w:tc>
      </w:tr>
    </w:tbl>
    <w:p w:rsidR="00000000" w:rsidRPr="00A515B5" w:rsidP="00A515B5">
      <w:pPr>
        <w:pStyle w:val="NoPaddingFontSize1"/>
      </w:pPr>
    </w:p>
    <w:p w:rsidR="00000000" w:rsidRPr="00A515B5" w:rsidP="00A515B5">
      <w:pPr>
        <w:pStyle w:val="AllowPageBreak"/>
      </w:pPr>
    </w:p>
    <w:p w:rsidR="00000000" w:rsidRPr="00A515B5" w:rsidP="00A515B5">
      <w:pPr>
        <w:pStyle w:val="Heading1"/>
      </w:pPr>
      <w:bookmarkStart w:id="2" w:name="O_1120885"/>
      <w:bookmarkEnd w:id="2"/>
      <w:r w:rsidRPr="00A515B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1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B5" w:rsidP="00A515B5">
            <w:pPr>
              <w:pStyle w:val="BodyText"/>
            </w:pPr>
            <w:r w:rsidRPr="00A515B5">
              <w:t>This unit involves the skills and knowledge required to apply rail grinding fundament</w:t>
            </w:r>
            <w:r w:rsidRPr="00A515B5">
              <w:t>als in accordance with rail network standards, safeworking and regulatory requirements, and workplace procedures.</w:t>
            </w:r>
          </w:p>
          <w:p w:rsidR="00000000" w:rsidRPr="00A515B5" w:rsidP="00A515B5">
            <w:pPr>
              <w:pStyle w:val="BodyText"/>
            </w:pPr>
            <w:r w:rsidRPr="00A515B5">
              <w:t>It includes determining job requirements, grinding rail to repair surface defects, and completing all required documentation. This unit relate</w:t>
            </w:r>
            <w:r w:rsidRPr="00A515B5">
              <w:t>s to the grinding of new welds and weld repairs, wheel burns, rail batter and overflow in plain track.</w:t>
            </w:r>
          </w:p>
          <w:p w:rsidR="00000000" w:rsidRPr="00A515B5" w:rsidP="00A515B5">
            <w:pPr>
              <w:pStyle w:val="BodyText"/>
            </w:pPr>
            <w:r w:rsidRPr="00A515B5">
              <w:t>People achieving competence in this unit will need to fulfil the applicable state/territory legislated rail safety requirements and to comply with releva</w:t>
            </w:r>
            <w:r w:rsidRPr="00A515B5">
              <w:t>nt codes of practice and/or guidelines.</w:t>
            </w:r>
          </w:p>
          <w:p w:rsidR="00000000" w:rsidRPr="00A515B5" w:rsidP="00A515B5">
            <w:pPr>
              <w:pStyle w:val="BodyText"/>
            </w:pPr>
            <w:r w:rsidRPr="00A515B5">
              <w:t>Work is performed under supervision, generally within a team environment. It involves the application of routine operational principles and procedures when grinding rail and welds, as part of workplace activities acr</w:t>
            </w:r>
            <w:r w:rsidRPr="00A515B5">
              <w:t>oss a variety of operational contexts within the Australian rail system.</w:t>
            </w:r>
          </w:p>
          <w:p w:rsidR="00000000" w:rsidRPr="00A515B5" w:rsidP="00A515B5">
            <w:pPr>
              <w:pStyle w:val="BodyText"/>
            </w:pPr>
            <w:r w:rsidRPr="00A515B5">
              <w:t>No licensing, legislative or certification requirements apply to this unit at the time of publication.</w:t>
            </w:r>
          </w:p>
        </w:tc>
      </w:tr>
    </w:tbl>
    <w:p w:rsidR="00000000" w:rsidRPr="00A515B5" w:rsidP="00A515B5">
      <w:pPr>
        <w:pStyle w:val="NoPaddingFontSize1"/>
      </w:pPr>
    </w:p>
    <w:p w:rsidR="00000000" w:rsidRPr="00A515B5" w:rsidP="00A515B5">
      <w:pPr>
        <w:pStyle w:val="AllowPageBreak"/>
      </w:pPr>
    </w:p>
    <w:p w:rsidR="00000000" w:rsidRPr="00A515B5" w:rsidP="00A515B5">
      <w:pPr>
        <w:pStyle w:val="Heading1"/>
      </w:pPr>
      <w:bookmarkStart w:id="3" w:name="O_1120886"/>
      <w:bookmarkEnd w:id="3"/>
      <w:r w:rsidRPr="00A515B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1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B5" w:rsidP="00A515B5">
            <w:pPr>
              <w:pStyle w:val="BodyText"/>
            </w:pPr>
            <w:r w:rsidRPr="00A515B5">
              <w:t>Not applicable.</w:t>
            </w:r>
          </w:p>
        </w:tc>
      </w:tr>
    </w:tbl>
    <w:p w:rsidR="00000000" w:rsidRPr="00A515B5" w:rsidP="00A515B5">
      <w:pPr>
        <w:pStyle w:val="NoPaddingFontSize1"/>
      </w:pPr>
    </w:p>
    <w:p w:rsidR="00000000" w:rsidRPr="00A515B5" w:rsidP="00A515B5">
      <w:pPr>
        <w:pStyle w:val="AllowPageBreak"/>
      </w:pPr>
    </w:p>
    <w:p w:rsidR="00000000" w:rsidRPr="00A515B5" w:rsidP="00A515B5">
      <w:pPr>
        <w:pStyle w:val="Heading1"/>
      </w:pPr>
      <w:bookmarkStart w:id="4" w:name="O_1120887"/>
      <w:bookmarkEnd w:id="4"/>
      <w:r w:rsidRPr="00A515B5">
        <w:t>Com</w:t>
      </w:r>
      <w:r w:rsidRPr="00A515B5">
        <w:t>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1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B5" w:rsidP="00A515B5">
            <w:pPr>
              <w:pStyle w:val="BodyText"/>
            </w:pPr>
            <w:r w:rsidRPr="00A515B5">
              <w:t>W – Equipment and Systems Operations</w:t>
            </w:r>
          </w:p>
        </w:tc>
      </w:tr>
    </w:tbl>
    <w:p w:rsidR="00000000" w:rsidRPr="00A515B5" w:rsidP="00A515B5">
      <w:pPr>
        <w:pStyle w:val="NoPaddingFontSize1"/>
      </w:pPr>
    </w:p>
    <w:p w:rsidR="00000000" w:rsidRPr="00A515B5" w:rsidP="00A515B5">
      <w:pPr>
        <w:pStyle w:val="AllowPageBreak"/>
      </w:pPr>
    </w:p>
    <w:p w:rsidR="00000000" w:rsidRPr="00A515B5" w:rsidP="00A515B5">
      <w:pPr>
        <w:pStyle w:val="Heading1"/>
      </w:pPr>
      <w:bookmarkStart w:id="5" w:name="O_1120888"/>
      <w:bookmarkEnd w:id="5"/>
      <w:r w:rsidRPr="00A515B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1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B5" w:rsidP="00A515B5">
            <w:pPr>
              <w:pStyle w:val="BodyText"/>
            </w:pPr>
            <w:r w:rsidRPr="00A515B5">
              <w:t>Rail sector.</w:t>
            </w:r>
          </w:p>
        </w:tc>
      </w:tr>
    </w:tbl>
    <w:p w:rsidR="00000000" w:rsidRPr="00A515B5" w:rsidP="00A515B5">
      <w:pPr>
        <w:pStyle w:val="NoPaddingFontSize1"/>
      </w:pPr>
    </w:p>
    <w:p w:rsidR="00000000" w:rsidRPr="00A515B5" w:rsidP="00A515B5">
      <w:pPr>
        <w:pStyle w:val="AllowPageBreak"/>
      </w:pPr>
    </w:p>
    <w:p w:rsidR="00000000" w:rsidRPr="00A515B5" w:rsidP="00A515B5">
      <w:pPr>
        <w:pStyle w:val="Heading1"/>
      </w:pPr>
      <w:bookmarkStart w:id="6" w:name="O_1120889"/>
      <w:bookmarkEnd w:id="6"/>
      <w:r w:rsidRPr="00A515B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51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B5" w:rsidP="00A515B5">
            <w:pPr>
              <w:pStyle w:val="BodyText"/>
            </w:pPr>
            <w:r w:rsidRPr="00A515B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B5">
            <w:pPr>
              <w:pStyle w:val="BodyText"/>
              <w:rPr>
                <w:lang w:val="en-NZ"/>
              </w:rPr>
            </w:pPr>
            <w:r w:rsidRPr="00A515B5">
              <w:rPr>
                <w:rStyle w:val="SpecialBold"/>
              </w:rPr>
              <w:t>PERFORMANCE CRITERIA</w:t>
            </w:r>
          </w:p>
        </w:tc>
      </w:tr>
      <w:tr w:rsidTr="00A51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B5">
            <w:pPr>
              <w:pStyle w:val="BodyText"/>
              <w:rPr>
                <w:lang w:val="en-NZ"/>
              </w:rPr>
            </w:pPr>
            <w:r w:rsidRPr="00A515B5">
              <w:t xml:space="preserve">Elements describe the essential </w:t>
            </w:r>
            <w:r w:rsidRPr="00A515B5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B5">
            <w:pPr>
              <w:pStyle w:val="BodyText"/>
              <w:rPr>
                <w:lang w:val="en-NZ"/>
              </w:rPr>
            </w:pPr>
            <w:r w:rsidRPr="00A515B5">
              <w:t xml:space="preserve">Performance criteria describe the performance needed to </w:t>
            </w:r>
            <w:r w:rsidRPr="00A515B5">
              <w:t>demonstrate achievement of the element.</w:t>
            </w:r>
          </w:p>
        </w:tc>
      </w:tr>
      <w:tr w:rsidTr="00A51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B5" w:rsidP="00A515B5">
            <w:pPr>
              <w:pStyle w:val="BodyText"/>
            </w:pPr>
            <w:r w:rsidRPr="00A515B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B5" w:rsidP="00A515B5">
            <w:pPr>
              <w:pStyle w:val="BodyText"/>
            </w:pPr>
            <w:r w:rsidRPr="00A515B5">
              <w:rPr>
                <w:rStyle w:val="SpecialBold"/>
              </w:rPr>
              <w:t xml:space="preserve">Identify rail grinding components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B5">
            <w:pPr>
              <w:pStyle w:val="BodyText"/>
              <w:rPr>
                <w:lang w:val="en-NZ"/>
              </w:rPr>
            </w:pPr>
            <w:r w:rsidRPr="00A515B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B5">
            <w:pPr>
              <w:pStyle w:val="BodyText"/>
              <w:rPr>
                <w:lang w:val="en-NZ"/>
              </w:rPr>
            </w:pPr>
            <w:r w:rsidRPr="00A515B5">
              <w:t>Basic track and grinding terminology are explained</w:t>
            </w:r>
          </w:p>
        </w:tc>
      </w:tr>
      <w:tr w:rsidTr="00A51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B5">
            <w:pPr>
              <w:pStyle w:val="BodyText"/>
              <w:rPr>
                <w:lang w:val="en-NZ"/>
              </w:rPr>
            </w:pPr>
            <w:r w:rsidRPr="00A515B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B5">
            <w:pPr>
              <w:pStyle w:val="BodyText"/>
              <w:rPr>
                <w:lang w:val="en-NZ"/>
              </w:rPr>
            </w:pPr>
            <w:r w:rsidRPr="00A515B5">
              <w:t>Fundamental grinding components are identified and their p</w:t>
            </w:r>
            <w:r w:rsidRPr="00A515B5">
              <w:t>urpose is explained</w:t>
            </w:r>
          </w:p>
        </w:tc>
      </w:tr>
      <w:tr w:rsidTr="00A51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B5" w:rsidP="00A515B5">
            <w:pPr>
              <w:pStyle w:val="BodyText"/>
            </w:pPr>
            <w:r w:rsidRPr="00A515B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B5" w:rsidP="00A515B5">
            <w:pPr>
              <w:pStyle w:val="BodyText"/>
            </w:pPr>
            <w:r w:rsidRPr="00A515B5">
              <w:rPr>
                <w:rStyle w:val="SpecialBold"/>
              </w:rPr>
              <w:t>Identify rail grinding job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B5">
            <w:pPr>
              <w:pStyle w:val="BodyText"/>
              <w:rPr>
                <w:lang w:val="en-NZ"/>
              </w:rPr>
            </w:pPr>
            <w:r w:rsidRPr="00A515B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B5">
            <w:pPr>
              <w:pStyle w:val="BodyText"/>
              <w:rPr>
                <w:lang w:val="en-NZ"/>
              </w:rPr>
            </w:pPr>
            <w:r w:rsidRPr="00A515B5">
              <w:t>New welds and weld repairs are located</w:t>
            </w:r>
          </w:p>
        </w:tc>
      </w:tr>
      <w:tr w:rsidTr="00A51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B5">
            <w:pPr>
              <w:pStyle w:val="BodyText"/>
              <w:rPr>
                <w:lang w:val="en-NZ"/>
              </w:rPr>
            </w:pPr>
            <w:r w:rsidRPr="00A515B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B5">
            <w:pPr>
              <w:pStyle w:val="BodyText"/>
              <w:rPr>
                <w:lang w:val="en-NZ"/>
              </w:rPr>
            </w:pPr>
            <w:r w:rsidRPr="00A515B5">
              <w:t>Hazards are identified, risks are assessed and control measures are implemented</w:t>
            </w:r>
          </w:p>
        </w:tc>
      </w:tr>
      <w:tr w:rsidTr="00A51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B5">
            <w:pPr>
              <w:pStyle w:val="BodyText"/>
              <w:rPr>
                <w:lang w:val="en-NZ"/>
              </w:rPr>
            </w:pPr>
            <w:r w:rsidRPr="00A515B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B5">
            <w:pPr>
              <w:pStyle w:val="BodyText"/>
              <w:rPr>
                <w:lang w:val="en-NZ"/>
              </w:rPr>
            </w:pPr>
            <w:r w:rsidRPr="00A515B5">
              <w:t>Appropriate grinding equipment is selected and checked for correct operations in accordance with workplace procedures</w:t>
            </w:r>
          </w:p>
        </w:tc>
      </w:tr>
      <w:tr w:rsidTr="00A51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B5">
            <w:pPr>
              <w:pStyle w:val="BodyText"/>
              <w:rPr>
                <w:lang w:val="en-NZ"/>
              </w:rPr>
            </w:pPr>
            <w:r w:rsidRPr="00A515B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B5">
            <w:pPr>
              <w:pStyle w:val="BodyText"/>
              <w:rPr>
                <w:lang w:val="en-NZ"/>
              </w:rPr>
            </w:pPr>
            <w:r w:rsidRPr="00A515B5">
              <w:t>Appropriate grinding wheel speed and rate of metal removal is selected in accordance with workplace procedures</w:t>
            </w:r>
          </w:p>
        </w:tc>
      </w:tr>
      <w:tr w:rsidTr="00A51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B5">
            <w:pPr>
              <w:pStyle w:val="BodyText"/>
              <w:rPr>
                <w:lang w:val="en-NZ"/>
              </w:rPr>
            </w:pPr>
            <w:r w:rsidRPr="00A515B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B5">
            <w:pPr>
              <w:pStyle w:val="BodyText"/>
              <w:rPr>
                <w:lang w:val="en-NZ"/>
              </w:rPr>
            </w:pPr>
            <w:r w:rsidRPr="00A515B5">
              <w:t>Appropriate r</w:t>
            </w:r>
            <w:r w:rsidRPr="00A515B5">
              <w:t>epair method is selected to ensure completed work will meet specifications</w:t>
            </w:r>
          </w:p>
        </w:tc>
      </w:tr>
      <w:tr w:rsidTr="00A51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B5">
            <w:pPr>
              <w:pStyle w:val="BodyText"/>
              <w:rPr>
                <w:lang w:val="en-NZ"/>
              </w:rPr>
            </w:pPr>
            <w:r w:rsidRPr="00A515B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B5">
            <w:pPr>
              <w:pStyle w:val="BodyText"/>
              <w:rPr>
                <w:lang w:val="en-NZ"/>
              </w:rPr>
            </w:pPr>
            <w:r w:rsidRPr="00A515B5">
              <w:t>Site is cleared of obstructions and combustible material</w:t>
            </w:r>
          </w:p>
        </w:tc>
      </w:tr>
      <w:tr w:rsidTr="00A51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B5" w:rsidP="00A515B5">
            <w:pPr>
              <w:pStyle w:val="BodyText"/>
            </w:pPr>
            <w:r w:rsidRPr="00A515B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B5" w:rsidP="00A515B5">
            <w:pPr>
              <w:pStyle w:val="BodyText"/>
            </w:pPr>
            <w:r w:rsidRPr="00A515B5">
              <w:rPr>
                <w:rStyle w:val="SpecialBold"/>
              </w:rPr>
              <w:t>Grind rail</w:t>
            </w:r>
            <w:r w:rsidRPr="00A515B5">
              <w:t xml:space="preserve"> </w:t>
            </w:r>
            <w:r w:rsidRPr="00A515B5">
              <w:rPr>
                <w:rStyle w:val="SpecialBold"/>
              </w:rPr>
              <w:t>weld and/or weld repair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B5">
            <w:pPr>
              <w:pStyle w:val="BodyText"/>
              <w:rPr>
                <w:lang w:val="en-NZ"/>
              </w:rPr>
            </w:pPr>
            <w:r w:rsidRPr="00A515B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B5">
            <w:pPr>
              <w:pStyle w:val="BodyText"/>
              <w:rPr>
                <w:lang w:val="en-NZ"/>
              </w:rPr>
            </w:pPr>
            <w:r w:rsidRPr="00A515B5">
              <w:t>Rail is ground to specification using approved equipment in accordance with workplace procedures</w:t>
            </w:r>
          </w:p>
        </w:tc>
      </w:tr>
      <w:tr w:rsidTr="00A51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B5">
            <w:pPr>
              <w:pStyle w:val="BodyText"/>
              <w:rPr>
                <w:lang w:val="en-NZ"/>
              </w:rPr>
            </w:pPr>
            <w:r w:rsidRPr="00A515B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B5">
            <w:pPr>
              <w:pStyle w:val="BodyText"/>
              <w:rPr>
                <w:lang w:val="en-NZ"/>
              </w:rPr>
            </w:pPr>
            <w:r w:rsidRPr="00A515B5">
              <w:t>Grinding equipment is operated safely in accordance with workplace and environmental requirements</w:t>
            </w:r>
          </w:p>
        </w:tc>
      </w:tr>
      <w:tr w:rsidTr="00A51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B5">
            <w:pPr>
              <w:pStyle w:val="BodyText"/>
              <w:rPr>
                <w:lang w:val="en-NZ"/>
              </w:rPr>
            </w:pPr>
            <w:r w:rsidRPr="00A515B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B5">
            <w:pPr>
              <w:pStyle w:val="BodyText"/>
              <w:rPr>
                <w:lang w:val="en-NZ"/>
              </w:rPr>
            </w:pPr>
            <w:r w:rsidRPr="00A515B5">
              <w:t>Rail surface condition is assessed for complian</w:t>
            </w:r>
            <w:r w:rsidRPr="00A515B5">
              <w:t>ce with rail network standards</w:t>
            </w:r>
          </w:p>
        </w:tc>
      </w:tr>
      <w:tr w:rsidTr="00A51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B5" w:rsidP="00A515B5">
            <w:pPr>
              <w:pStyle w:val="BodyText"/>
            </w:pPr>
            <w:r w:rsidRPr="00A515B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B5" w:rsidP="00A515B5">
            <w:pPr>
              <w:pStyle w:val="BodyText"/>
            </w:pPr>
            <w:r w:rsidRPr="00A515B5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B5">
            <w:pPr>
              <w:pStyle w:val="BodyText"/>
              <w:rPr>
                <w:lang w:val="en-NZ"/>
              </w:rPr>
            </w:pPr>
            <w:r w:rsidRPr="00A515B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B5">
            <w:pPr>
              <w:pStyle w:val="BodyText"/>
              <w:rPr>
                <w:lang w:val="en-NZ"/>
              </w:rPr>
            </w:pPr>
            <w:r w:rsidRPr="00A515B5">
              <w:t>Required documentation procedures and processes are confirmed</w:t>
            </w:r>
          </w:p>
        </w:tc>
      </w:tr>
      <w:tr w:rsidTr="00A51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B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5B5">
            <w:pPr>
              <w:pStyle w:val="BodyText"/>
              <w:rPr>
                <w:lang w:val="en-NZ"/>
              </w:rPr>
            </w:pPr>
            <w:r w:rsidRPr="00A515B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B5" w:rsidP="00A515B5">
            <w:pPr>
              <w:pStyle w:val="BodyText"/>
            </w:pPr>
            <w:r w:rsidRPr="00A515B5">
              <w:t>Documentation is processed in accordance with workplace requirements</w:t>
            </w:r>
          </w:p>
        </w:tc>
      </w:tr>
    </w:tbl>
    <w:p w:rsidR="00000000" w:rsidRPr="00A515B5" w:rsidP="00A515B5">
      <w:pPr>
        <w:pStyle w:val="NoPaddingFontSize1"/>
      </w:pPr>
    </w:p>
    <w:p w:rsidR="00000000" w:rsidRPr="00A515B5" w:rsidP="00A515B5">
      <w:pPr>
        <w:pStyle w:val="AllowPageBreak"/>
      </w:pPr>
    </w:p>
    <w:p w:rsidR="00000000" w:rsidRPr="00A515B5" w:rsidP="00A515B5">
      <w:pPr>
        <w:pStyle w:val="Heading1"/>
      </w:pPr>
      <w:bookmarkStart w:id="7" w:name="O_1120890"/>
      <w:bookmarkEnd w:id="7"/>
      <w:r w:rsidRPr="00A515B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1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B5" w:rsidP="00A515B5">
            <w:pPr>
              <w:pStyle w:val="BodyText"/>
            </w:pPr>
            <w:r w:rsidRPr="00A515B5">
              <w:t>Foundation skills essential to performance are explicit in the performance criteria of this unit of competency.</w:t>
            </w:r>
          </w:p>
        </w:tc>
      </w:tr>
    </w:tbl>
    <w:p w:rsidR="00000000" w:rsidRPr="00A515B5" w:rsidP="00A515B5">
      <w:pPr>
        <w:pStyle w:val="NoPaddingFontSize1"/>
      </w:pPr>
    </w:p>
    <w:p w:rsidR="00000000" w:rsidRPr="00A515B5" w:rsidP="00A515B5">
      <w:pPr>
        <w:pStyle w:val="AllowPageBreak"/>
      </w:pPr>
    </w:p>
    <w:p w:rsidR="00000000" w:rsidRPr="00A515B5" w:rsidP="00A515B5">
      <w:pPr>
        <w:pStyle w:val="Heading1"/>
      </w:pPr>
      <w:bookmarkStart w:id="8" w:name="O_1120891"/>
      <w:bookmarkEnd w:id="8"/>
      <w:r w:rsidRPr="00A515B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1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B5" w:rsidP="00A515B5">
            <w:pPr>
              <w:pStyle w:val="BodyText"/>
            </w:pPr>
            <w:r w:rsidRPr="00A515B5">
              <w:t>Range is restricted to essential operating condi</w:t>
            </w:r>
            <w:r w:rsidRPr="00A515B5">
              <w:t>tions and any other variables essential to the work environment.</w:t>
            </w:r>
          </w:p>
        </w:tc>
      </w:tr>
    </w:tbl>
    <w:p w:rsidR="00000000" w:rsidRPr="00A515B5" w:rsidP="00A515B5">
      <w:pPr>
        <w:pStyle w:val="NoPaddingFontSize1"/>
      </w:pPr>
    </w:p>
    <w:p w:rsidR="00000000" w:rsidRPr="00A515B5" w:rsidP="00A515B5">
      <w:pPr>
        <w:pStyle w:val="AllowPageBreak"/>
      </w:pPr>
    </w:p>
    <w:p w:rsidR="00000000" w:rsidRPr="00A515B5" w:rsidP="00A515B5">
      <w:pPr>
        <w:pStyle w:val="Heading1"/>
      </w:pPr>
      <w:bookmarkStart w:id="9" w:name="O_1120892"/>
      <w:bookmarkEnd w:id="9"/>
      <w:r w:rsidRPr="00A515B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1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5B5" w:rsidP="00A515B5">
            <w:pPr>
              <w:pStyle w:val="BodyText"/>
            </w:pPr>
            <w:r w:rsidRPr="00A515B5">
              <w:t>This is a new unit. No equivalent unit.</w:t>
            </w:r>
          </w:p>
        </w:tc>
      </w:tr>
    </w:tbl>
    <w:p w:rsidR="00000000" w:rsidRPr="00A515B5" w:rsidP="00A515B5">
      <w:pPr>
        <w:pStyle w:val="NoPaddingFontSize1"/>
      </w:pPr>
    </w:p>
    <w:p w:rsidR="00000000" w:rsidRPr="00A515B5" w:rsidP="00A515B5">
      <w:pPr>
        <w:pStyle w:val="AllowPageBreak"/>
      </w:pPr>
    </w:p>
    <w:p w:rsidR="00000000" w:rsidRPr="00A515B5" w:rsidP="00A515B5">
      <w:pPr>
        <w:pStyle w:val="Heading1"/>
      </w:pPr>
      <w:bookmarkStart w:id="10" w:name="O_1120899"/>
      <w:bookmarkEnd w:id="10"/>
      <w:r w:rsidRPr="00A515B5">
        <w:t>Links</w:t>
      </w:r>
    </w:p>
    <w:p w:rsidR="00000000" w:rsidRPr="00A515B5" w:rsidP="009670BC">
      <w:pPr>
        <w:pStyle w:val="BodyText"/>
      </w:pPr>
      <w:r w:rsidRPr="00A515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4206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515B5" w:rsidP="00A515B5"/>
    <w:sectPr w:rsidSect="00A515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5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5B5" w:rsidRPr="009670BC" w:rsidP="009670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5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0BC" w:rsidP="00A515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70BC" w:rsidP="00A515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670BC" w:rsidP="00A515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5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0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15B5" w:rsidRPr="009670BC" w:rsidP="009670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5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0BC" w:rsidRPr="002D2AF8" w:rsidP="00A515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TLIW0001 Apply rail grinding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670BC" w:rsidP="00A515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5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15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15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15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15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15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15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15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15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15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15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15B5"/>
  </w:style>
  <w:style w:type="character" w:customStyle="1" w:styleId="Heading1Char">
    <w:name w:val="Heading 1 Char"/>
    <w:basedOn w:val="DefaultParagraphFont"/>
    <w:link w:val="Heading1"/>
    <w:rsid w:val="00A515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15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15B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515B5"/>
    <w:rPr>
      <w:b/>
      <w:spacing w:val="0"/>
    </w:rPr>
  </w:style>
  <w:style w:type="paragraph" w:customStyle="1" w:styleId="SuperHeading">
    <w:name w:val="SuperHeading"/>
    <w:basedOn w:val="Normal"/>
    <w:rsid w:val="00A515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15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15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15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15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1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1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1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1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15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15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15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15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15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15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15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15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15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15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15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15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15B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15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15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15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15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15B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15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15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15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15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15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15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15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15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15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15B5"/>
    <w:rPr>
      <w:i/>
    </w:rPr>
  </w:style>
  <w:style w:type="paragraph" w:styleId="Caption">
    <w:name w:val="caption"/>
    <w:basedOn w:val="BodyText"/>
    <w:next w:val="Normal"/>
    <w:qFormat/>
    <w:rsid w:val="00A515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15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15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15B5"/>
  </w:style>
  <w:style w:type="paragraph" w:styleId="TableofFigures">
    <w:name w:val="table of figures"/>
    <w:basedOn w:val="Normal"/>
    <w:next w:val="Normal"/>
    <w:semiHidden/>
    <w:rsid w:val="00A515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15B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515B5"/>
    <w:rPr>
      <w:rFonts w:ascii="Wingdings" w:hAnsi="Wingdings"/>
    </w:rPr>
  </w:style>
  <w:style w:type="paragraph" w:customStyle="1" w:styleId="TableHeading">
    <w:name w:val="Table Heading"/>
    <w:basedOn w:val="HeadingBase"/>
    <w:rsid w:val="00A515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15B5"/>
    <w:rPr>
      <w:color w:val="0033CC"/>
      <w:u w:val="none"/>
    </w:rPr>
  </w:style>
  <w:style w:type="paragraph" w:customStyle="1" w:styleId="BodyTextRight">
    <w:name w:val="Body Text Right"/>
    <w:basedOn w:val="BodyText"/>
    <w:rsid w:val="00A515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15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15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15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15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15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15B5"/>
    <w:rPr>
      <w:sz w:val="32"/>
    </w:rPr>
  </w:style>
  <w:style w:type="paragraph" w:customStyle="1" w:styleId="HeadingProcedure">
    <w:name w:val="Heading Procedure"/>
    <w:basedOn w:val="HeadingBase"/>
    <w:next w:val="Normal"/>
    <w:rsid w:val="00A515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15B5"/>
    <w:pPr>
      <w:spacing w:before="60" w:after="60"/>
    </w:pPr>
  </w:style>
  <w:style w:type="paragraph" w:styleId="ListContinue">
    <w:name w:val="List Continue"/>
    <w:basedOn w:val="List"/>
    <w:rsid w:val="00A515B5"/>
    <w:pPr>
      <w:ind w:firstLine="0"/>
    </w:pPr>
  </w:style>
  <w:style w:type="paragraph" w:customStyle="1" w:styleId="ListNote">
    <w:name w:val="List Note"/>
    <w:basedOn w:val="List"/>
    <w:rsid w:val="00A515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15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15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15B5"/>
    <w:rPr>
      <w:rFonts w:ascii="Courier New" w:hAnsi="Courier New"/>
    </w:rPr>
  </w:style>
  <w:style w:type="paragraph" w:customStyle="1" w:styleId="NoteBullet">
    <w:name w:val="Note Bullet"/>
    <w:basedOn w:val="Note"/>
    <w:rsid w:val="00A515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15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15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15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15B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515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15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15B5"/>
    <w:rPr>
      <w:b/>
      <w:smallCaps/>
    </w:rPr>
  </w:style>
  <w:style w:type="paragraph" w:customStyle="1" w:styleId="TableListNumber">
    <w:name w:val="Table List Number"/>
    <w:basedOn w:val="ListNumber"/>
    <w:rsid w:val="00A515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15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15B5"/>
    <w:pPr>
      <w:numPr>
        <w:numId w:val="7"/>
      </w:numPr>
    </w:pPr>
  </w:style>
  <w:style w:type="paragraph" w:customStyle="1" w:styleId="ListAlpha2">
    <w:name w:val="List Alpha 2"/>
    <w:basedOn w:val="List2"/>
    <w:rsid w:val="00A515B5"/>
    <w:pPr>
      <w:numPr>
        <w:numId w:val="6"/>
      </w:numPr>
    </w:pPr>
  </w:style>
  <w:style w:type="paragraph" w:styleId="List2">
    <w:name w:val="List 2"/>
    <w:basedOn w:val="BodyText"/>
    <w:rsid w:val="00A515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15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15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15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15B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15B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515B5"/>
    <w:pPr>
      <w:numPr>
        <w:numId w:val="2"/>
      </w:numPr>
    </w:pPr>
  </w:style>
  <w:style w:type="paragraph" w:styleId="ListContinue2">
    <w:name w:val="List Continue 2"/>
    <w:basedOn w:val="List2"/>
    <w:rsid w:val="00A515B5"/>
    <w:pPr>
      <w:ind w:firstLine="0"/>
    </w:pPr>
  </w:style>
  <w:style w:type="paragraph" w:styleId="ListContinue3">
    <w:name w:val="List Continue 3"/>
    <w:basedOn w:val="List3"/>
    <w:rsid w:val="00A515B5"/>
    <w:pPr>
      <w:ind w:left="1021" w:firstLine="0"/>
    </w:pPr>
  </w:style>
  <w:style w:type="paragraph" w:styleId="ListContinue4">
    <w:name w:val="List Continue 4"/>
    <w:basedOn w:val="List4"/>
    <w:rsid w:val="00A515B5"/>
    <w:pPr>
      <w:ind w:firstLine="0"/>
    </w:pPr>
  </w:style>
  <w:style w:type="paragraph" w:styleId="ListContinue5">
    <w:name w:val="List Continue 5"/>
    <w:basedOn w:val="List5"/>
    <w:rsid w:val="00A515B5"/>
    <w:pPr>
      <w:ind w:firstLine="0"/>
    </w:pPr>
  </w:style>
  <w:style w:type="paragraph" w:styleId="ListNumber3">
    <w:name w:val="List Number 3"/>
    <w:basedOn w:val="List3"/>
    <w:rsid w:val="00A515B5"/>
    <w:pPr>
      <w:numPr>
        <w:numId w:val="3"/>
      </w:numPr>
    </w:pPr>
  </w:style>
  <w:style w:type="paragraph" w:styleId="ListNumber4">
    <w:name w:val="List Number 4"/>
    <w:basedOn w:val="List4"/>
    <w:rsid w:val="00A515B5"/>
    <w:pPr>
      <w:numPr>
        <w:numId w:val="4"/>
      </w:numPr>
    </w:pPr>
  </w:style>
  <w:style w:type="paragraph" w:styleId="ListNumber5">
    <w:name w:val="List Number 5"/>
    <w:basedOn w:val="List5"/>
    <w:rsid w:val="00A515B5"/>
    <w:pPr>
      <w:numPr>
        <w:numId w:val="5"/>
      </w:numPr>
    </w:pPr>
  </w:style>
  <w:style w:type="paragraph" w:styleId="BlockText">
    <w:name w:val="Block Text"/>
    <w:basedOn w:val="Normal"/>
    <w:rsid w:val="00A515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15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15B5"/>
    <w:rPr>
      <w:sz w:val="16"/>
      <w:vertAlign w:val="superscript"/>
    </w:rPr>
  </w:style>
  <w:style w:type="character" w:customStyle="1" w:styleId="Symbols">
    <w:name w:val="Symbols"/>
    <w:basedOn w:val="DefaultParagraphFont"/>
    <w:rsid w:val="00A515B5"/>
    <w:rPr>
      <w:rFonts w:ascii="Symbol" w:hAnsi="Symbol"/>
    </w:rPr>
  </w:style>
  <w:style w:type="character" w:customStyle="1" w:styleId="MenuOptions">
    <w:name w:val="Menu Options"/>
    <w:basedOn w:val="DefaultParagraphFont"/>
    <w:rsid w:val="00A515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15B5"/>
    <w:rPr>
      <w:b/>
    </w:rPr>
  </w:style>
  <w:style w:type="character" w:customStyle="1" w:styleId="Underlined">
    <w:name w:val="Underlined"/>
    <w:basedOn w:val="DefaultParagraphFont"/>
    <w:rsid w:val="00A515B5"/>
    <w:rPr>
      <w:u w:val="single"/>
    </w:rPr>
  </w:style>
  <w:style w:type="paragraph" w:customStyle="1" w:styleId="TableBodyTextRight">
    <w:name w:val="Table Body Text Right"/>
    <w:basedOn w:val="TableBodyText"/>
    <w:rsid w:val="00A515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15B5"/>
    <w:rPr>
      <w:sz w:val="18"/>
    </w:rPr>
  </w:style>
  <w:style w:type="paragraph" w:customStyle="1" w:styleId="BodySmallRight">
    <w:name w:val="Body Small Right"/>
    <w:basedOn w:val="BodyTextRight"/>
    <w:rsid w:val="00A515B5"/>
    <w:rPr>
      <w:sz w:val="18"/>
      <w:szCs w:val="18"/>
    </w:rPr>
  </w:style>
  <w:style w:type="paragraph" w:customStyle="1" w:styleId="MarginEdition">
    <w:name w:val="Margin Edition"/>
    <w:basedOn w:val="MarginNote"/>
    <w:rsid w:val="00A515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15B5"/>
    <w:rPr>
      <w:sz w:val="2"/>
      <w:szCs w:val="2"/>
    </w:rPr>
  </w:style>
  <w:style w:type="character" w:customStyle="1" w:styleId="Small">
    <w:name w:val="Small"/>
    <w:basedOn w:val="DefaultParagraphFont"/>
    <w:rsid w:val="00A515B5"/>
    <w:rPr>
      <w:sz w:val="16"/>
    </w:rPr>
  </w:style>
  <w:style w:type="paragraph" w:customStyle="1" w:styleId="WideTable">
    <w:name w:val="Wide Table"/>
    <w:basedOn w:val="Normal"/>
    <w:rsid w:val="00A515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15B5"/>
  </w:style>
  <w:style w:type="paragraph" w:styleId="Quote">
    <w:name w:val="Quote"/>
    <w:basedOn w:val="Heading1"/>
    <w:link w:val="QuoteChar"/>
    <w:qFormat/>
    <w:rsid w:val="00A515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15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15B5"/>
    <w:pPr>
      <w:pageBreakBefore/>
    </w:pPr>
  </w:style>
  <w:style w:type="paragraph" w:customStyle="1" w:styleId="Border">
    <w:name w:val="Border"/>
    <w:basedOn w:val="Normal"/>
    <w:qFormat/>
    <w:rsid w:val="00A515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15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5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5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15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15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15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15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15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15B5"/>
    <w:rPr>
      <w:u w:val="single"/>
    </w:rPr>
  </w:style>
  <w:style w:type="character" w:customStyle="1" w:styleId="BoldandItalics">
    <w:name w:val="Bold and Italics"/>
    <w:qFormat/>
    <w:rsid w:val="00A515B5"/>
    <w:rPr>
      <w:b/>
      <w:i/>
      <w:u w:val="none"/>
    </w:rPr>
  </w:style>
  <w:style w:type="paragraph" w:styleId="BalloonText">
    <w:name w:val="Balloon Text"/>
    <w:basedOn w:val="Normal"/>
    <w:link w:val="BalloonTextChar"/>
    <w:rsid w:val="00A515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5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15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15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15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15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15B5"/>
    <w:pPr>
      <w:spacing w:before="0" w:after="0"/>
    </w:pPr>
  </w:style>
  <w:style w:type="paragraph" w:customStyle="1" w:styleId="BodyTextBold">
    <w:name w:val="Body Text Bold"/>
    <w:basedOn w:val="BodyText"/>
    <w:qFormat/>
    <w:rsid w:val="00A515B5"/>
    <w:rPr>
      <w:b/>
    </w:rPr>
  </w:style>
  <w:style w:type="character" w:styleId="Hyperlink">
    <w:name w:val="Hyperlink"/>
    <w:basedOn w:val="DefaultParagraphFont"/>
    <w:uiPriority w:val="99"/>
    <w:unhideWhenUsed/>
    <w:rsid w:val="009670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482</Words>
  <Characters>3038</Characters>
  <Application>Microsoft Office Word</Application>
  <DocSecurity>0</DocSecurity>
  <Lines>144</Lines>
  <Paragraphs>78</Paragraphs>
  <ScaleCrop>false</ScaleCrop>
  <Company>Author-it Software Corporation Ltd.</Company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TLIW0001 Apply rail grinding fundamentals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2024-07-12T07:46:00Z</dcterms:created>
  <dcterms:modified xsi:type="dcterms:W3CDTF">2024-07-12T07:46:00Z</dcterms:modified>
</cp:coreProperties>
</file>