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6E0" w:rsidP="00136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TLIU3011 Implement and monitor environmentally sustainable work practices</w:t>
      </w:r>
      <w:r>
        <w:fldChar w:fldCharType="end"/>
      </w:r>
    </w:p>
    <w:p w:rsidR="001366E0" w:rsidP="001366E0">
      <w:pPr>
        <w:pStyle w:val="Version"/>
        <w:sectPr w:rsidSect="005A4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4C0A" w:rsidP="005A4C0A">
      <w:pPr>
        <w:pStyle w:val="SuperHeading"/>
      </w:pPr>
      <w:r w:rsidRPr="005A4C0A">
        <w:t>TLIU3011 Implement and monitor environmentally sustainable work practices</w:t>
      </w:r>
    </w:p>
    <w:p w:rsidR="00000000" w:rsidRPr="005A4C0A" w:rsidP="005A4C0A">
      <w:pPr>
        <w:pStyle w:val="Heading1"/>
      </w:pPr>
      <w:bookmarkStart w:id="1" w:name="O_1120861"/>
      <w:bookmarkEnd w:id="1"/>
      <w:r w:rsidRPr="005A4C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Release 2</w:t>
            </w:r>
            <w:r w:rsidRPr="005A4C0A">
              <w:t>. This is the second release of this unit of competency in the TLI Transport and Logistics Training Package:</w:t>
            </w:r>
          </w:p>
          <w:p w:rsidR="00000000" w:rsidP="005A4C0A">
            <w:pPr>
              <w:pStyle w:val="ListBullet"/>
              <w:rPr>
                <w:lang w:val="en-NZ"/>
              </w:rPr>
            </w:pPr>
            <w:r w:rsidRPr="005A4C0A">
              <w:t>Minor statement changes in Assessment Conditions.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Release 1</w:t>
            </w:r>
            <w:r w:rsidRPr="005A4C0A">
              <w:t>. This is the first release of this unit of competency in the TLI Transport and Logistics Training Package.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2" w:name="O_1120860"/>
      <w:bookmarkEnd w:id="2"/>
      <w:r w:rsidRPr="005A4C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This unit involves the skills and knowledge required to</w:t>
            </w:r>
            <w:r w:rsidRPr="005A4C0A">
              <w:t xml:space="preserve"> implement improvements and to monitor sustainable work practices, including developing processes and tools.</w:t>
            </w:r>
          </w:p>
          <w:p w:rsidR="00000000" w:rsidRPr="005A4C0A" w:rsidP="005A4C0A">
            <w:pPr>
              <w:pStyle w:val="BodyText"/>
            </w:pPr>
            <w:r w:rsidRPr="005A4C0A">
              <w:t>It includes investigating current practices in relation to resource usage, setting target improvements, implementing performance improvement strate</w:t>
            </w:r>
            <w:r w:rsidRPr="005A4C0A">
              <w:t>gies and monitoring performance.</w:t>
            </w:r>
          </w:p>
          <w:p w:rsidR="00000000" w:rsidRPr="005A4C0A" w:rsidP="005A4C0A">
            <w:pPr>
              <w:pStyle w:val="BodyText"/>
            </w:pPr>
            <w:r w:rsidRPr="005A4C0A">
              <w:t>It applies to those who have responsibility for a specific area of work or who lead a work group or team.</w:t>
            </w:r>
          </w:p>
          <w:p w:rsidR="00000000" w:rsidRPr="005A4C0A" w:rsidP="005A4C0A">
            <w:pPr>
              <w:pStyle w:val="BodyText"/>
            </w:pPr>
            <w:r w:rsidRPr="005A4C0A">
              <w:t>No licensing, legislative or certification requirements apply to this unit at the time of publication.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3" w:name="O_1120859"/>
      <w:bookmarkEnd w:id="3"/>
      <w:r w:rsidRPr="005A4C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Not applicable.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4" w:name="O_1120858"/>
      <w:bookmarkEnd w:id="4"/>
      <w:r w:rsidRPr="005A4C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U – Environment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5" w:name="O_1120857"/>
      <w:bookmarkEnd w:id="5"/>
      <w:r w:rsidRPr="005A4C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Rail sector.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6" w:name="O_1120856"/>
      <w:bookmarkEnd w:id="6"/>
      <w:r w:rsidRPr="005A4C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PERFORMANCE CRITERIA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Performance criteria describe the performance needed to demonstrate achievement of the element.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Investigate current practices in relation to resource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Environmental regulations applying to the organi</w:t>
            </w:r>
            <w:r w:rsidRPr="005A4C0A">
              <w:t>sation are identified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Procedures for assessing compliance with environmental regulations are assessed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Information on environmental and resource efficiency systems and procedures is collected and provided to work group as required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Cur</w:t>
            </w:r>
            <w:r w:rsidRPr="005A4C0A">
              <w:t>rent resource usage of work group members and organisation within own area of responsibility, is measured and documented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Current purchasing strategies are analysed and documented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Current work processes are analysed to access information and d</w:t>
            </w:r>
            <w:r w:rsidRPr="005A4C0A">
              <w:t>ata and assist in identifying areas for improvement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Set target improvements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Input is sought from stakeholders, relevant personnel and specialists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External sources of information and data are accessed as required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Implement performance improvement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Techniques/tools are sourced to assist in achieving targets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 xml:space="preserve">Continuous improvement strategies are applied to </w:t>
            </w:r>
            <w:r w:rsidRPr="005A4C0A">
              <w:t>own work area of responsibility, and ideas and possible solutions are communicated to work group and management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Work group environmental and resource efficiency improvement plans are integrated with other operational activities and implemented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Work group members are trained in new procedures to facilitate environmental and resource efficiency improvements as required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Suggestions and ideas about environmental and resource efficiency management are sought from stakeholders and acted upo</w:t>
            </w:r>
            <w:r w:rsidRPr="005A4C0A">
              <w:t>n where appropriate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 xml:space="preserve">Costing strategies are implemented to fully value </w:t>
            </w:r>
            <w:r w:rsidRPr="005A4C0A">
              <w:t>environmental assets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rPr>
                <w:rStyle w:val="SpecialBold"/>
              </w:rPr>
              <w:t>Monitor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Outcomes are documented and feedback is provided to relevant personnel and stakeholders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Strategies are evaluated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t>New targets are set, and new tools and strategies are investigated and applied</w:t>
            </w:r>
          </w:p>
        </w:tc>
      </w:tr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0A">
            <w:pPr>
              <w:pStyle w:val="BodyText"/>
              <w:rPr>
                <w:lang w:val="en-NZ"/>
              </w:rPr>
            </w:pPr>
            <w:r w:rsidRPr="005A4C0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Successful strategies are promoted and, where possible, participants are rewarded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7" w:name="O_1120855"/>
      <w:bookmarkEnd w:id="7"/>
      <w:r w:rsidRPr="005A4C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Foundation skills essential to performance are ex</w:t>
            </w:r>
            <w:r w:rsidRPr="005A4C0A">
              <w:t>plicit in the performance criteria of this unit of competency.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8" w:name="O_1120854"/>
      <w:bookmarkEnd w:id="8"/>
      <w:r w:rsidRPr="005A4C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Range is restricted to essential operating conditions and any other variables essential to the work environment.</w:t>
            </w:r>
          </w:p>
          <w:p w:rsidR="00000000" w:rsidRPr="005A4C0A" w:rsidP="005A4C0A">
            <w:pPr>
              <w:pStyle w:val="BodyText"/>
            </w:pPr>
            <w:r w:rsidRPr="005A4C0A">
              <w:t>Non-essential conditions can be found in the TLI Transport and Logistics Training Package Companion Volume Implementation Guide.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9" w:name="O_1120853"/>
      <w:bookmarkEnd w:id="9"/>
      <w:r w:rsidRPr="005A4C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0A" w:rsidP="005A4C0A">
            <w:pPr>
              <w:pStyle w:val="BodyText"/>
            </w:pPr>
            <w:r w:rsidRPr="005A4C0A">
              <w:t>This unit replaces and is equivalent to TLIU3011A Implement and monitor environme</w:t>
            </w:r>
            <w:r w:rsidRPr="005A4C0A">
              <w:t>ntally sustainable work practices.</w:t>
            </w:r>
          </w:p>
        </w:tc>
      </w:tr>
    </w:tbl>
    <w:p w:rsidR="00000000" w:rsidRPr="005A4C0A" w:rsidP="005A4C0A">
      <w:pPr>
        <w:pStyle w:val="NoPaddingFontSize1"/>
      </w:pPr>
    </w:p>
    <w:p w:rsidR="00000000" w:rsidRPr="005A4C0A" w:rsidP="005A4C0A">
      <w:pPr>
        <w:pStyle w:val="AllowPageBreak"/>
      </w:pPr>
    </w:p>
    <w:p w:rsidR="00000000" w:rsidRPr="005A4C0A" w:rsidP="005A4C0A">
      <w:pPr>
        <w:pStyle w:val="Heading1"/>
      </w:pPr>
      <w:bookmarkStart w:id="10" w:name="O_1120862"/>
      <w:bookmarkEnd w:id="10"/>
      <w:r w:rsidRPr="005A4C0A">
        <w:t>Links</w:t>
      </w:r>
    </w:p>
    <w:p w:rsidR="00000000" w:rsidRPr="005A4C0A" w:rsidP="001366E0">
      <w:pPr>
        <w:pStyle w:val="BodyText"/>
      </w:pPr>
      <w:r w:rsidRPr="005A4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25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4C0A" w:rsidP="005A4C0A"/>
    <w:sectPr w:rsidSect="005A4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A" w:rsidRPr="001366E0" w:rsidP="00136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E0" w:rsidP="005A4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6E0" w:rsidP="005A4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66E0" w:rsidP="005A4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C0A" w:rsidRPr="001366E0" w:rsidP="00136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E0" w:rsidRPr="002D2AF8" w:rsidP="005A4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TLIU3011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366E0" w:rsidP="005A4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5E4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20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C0A"/>
  </w:style>
  <w:style w:type="character" w:customStyle="1" w:styleId="Heading1Char">
    <w:name w:val="Heading 1 Char"/>
    <w:basedOn w:val="DefaultParagraphFont"/>
    <w:link w:val="Heading1"/>
    <w:rsid w:val="005A4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C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C0A"/>
    <w:rPr>
      <w:b/>
      <w:spacing w:val="0"/>
    </w:rPr>
  </w:style>
  <w:style w:type="paragraph" w:customStyle="1" w:styleId="SuperHeading">
    <w:name w:val="SuperHeading"/>
    <w:basedOn w:val="Normal"/>
    <w:rsid w:val="005A4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4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C0A"/>
    <w:rPr>
      <w:i/>
    </w:rPr>
  </w:style>
  <w:style w:type="paragraph" w:styleId="Caption">
    <w:name w:val="caption"/>
    <w:basedOn w:val="BodyText"/>
    <w:next w:val="Normal"/>
    <w:qFormat/>
    <w:rsid w:val="005A4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C0A"/>
  </w:style>
  <w:style w:type="paragraph" w:styleId="TableofFigures">
    <w:name w:val="table of figures"/>
    <w:basedOn w:val="Normal"/>
    <w:next w:val="Normal"/>
    <w:semiHidden/>
    <w:rsid w:val="005A4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C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4C0A"/>
    <w:rPr>
      <w:rFonts w:ascii="Wingdings" w:hAnsi="Wingdings"/>
    </w:rPr>
  </w:style>
  <w:style w:type="paragraph" w:customStyle="1" w:styleId="TableHeading">
    <w:name w:val="Table Heading"/>
    <w:basedOn w:val="HeadingBase"/>
    <w:rsid w:val="005A4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C0A"/>
    <w:rPr>
      <w:color w:val="0033CC"/>
      <w:u w:val="none"/>
    </w:rPr>
  </w:style>
  <w:style w:type="paragraph" w:customStyle="1" w:styleId="BodyTextRight">
    <w:name w:val="Body Text Right"/>
    <w:basedOn w:val="BodyText"/>
    <w:rsid w:val="005A4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C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C0A"/>
    <w:rPr>
      <w:sz w:val="32"/>
    </w:rPr>
  </w:style>
  <w:style w:type="paragraph" w:customStyle="1" w:styleId="HeadingProcedure">
    <w:name w:val="Heading Procedure"/>
    <w:basedOn w:val="HeadingBase"/>
    <w:next w:val="Normal"/>
    <w:rsid w:val="005A4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C0A"/>
    <w:pPr>
      <w:spacing w:before="60" w:after="60"/>
    </w:pPr>
  </w:style>
  <w:style w:type="paragraph" w:styleId="ListContinue">
    <w:name w:val="List Continue"/>
    <w:basedOn w:val="List"/>
    <w:rsid w:val="005A4C0A"/>
    <w:pPr>
      <w:ind w:firstLine="0"/>
    </w:pPr>
  </w:style>
  <w:style w:type="paragraph" w:customStyle="1" w:styleId="ListNote">
    <w:name w:val="List Note"/>
    <w:basedOn w:val="List"/>
    <w:rsid w:val="005A4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C0A"/>
    <w:rPr>
      <w:rFonts w:ascii="Courier New" w:hAnsi="Courier New"/>
    </w:rPr>
  </w:style>
  <w:style w:type="paragraph" w:customStyle="1" w:styleId="NoteBullet">
    <w:name w:val="Note Bullet"/>
    <w:basedOn w:val="Note"/>
    <w:rsid w:val="005A4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4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C0A"/>
    <w:rPr>
      <w:b/>
      <w:smallCaps/>
    </w:rPr>
  </w:style>
  <w:style w:type="paragraph" w:customStyle="1" w:styleId="TableListNumber">
    <w:name w:val="Table List Number"/>
    <w:basedOn w:val="ListNumber"/>
    <w:rsid w:val="005A4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C0A"/>
    <w:pPr>
      <w:numPr>
        <w:numId w:val="8"/>
      </w:numPr>
    </w:pPr>
  </w:style>
  <w:style w:type="paragraph" w:customStyle="1" w:styleId="ListAlpha2">
    <w:name w:val="List Alpha 2"/>
    <w:basedOn w:val="List2"/>
    <w:rsid w:val="005A4C0A"/>
    <w:pPr>
      <w:numPr>
        <w:numId w:val="7"/>
      </w:numPr>
    </w:pPr>
  </w:style>
  <w:style w:type="paragraph" w:styleId="List2">
    <w:name w:val="List 2"/>
    <w:basedOn w:val="BodyText"/>
    <w:rsid w:val="005A4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C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4C0A"/>
    <w:pPr>
      <w:numPr>
        <w:numId w:val="3"/>
      </w:numPr>
    </w:pPr>
  </w:style>
  <w:style w:type="paragraph" w:styleId="ListContinue2">
    <w:name w:val="List Continue 2"/>
    <w:basedOn w:val="List2"/>
    <w:rsid w:val="005A4C0A"/>
    <w:pPr>
      <w:ind w:firstLine="0"/>
    </w:pPr>
  </w:style>
  <w:style w:type="paragraph" w:styleId="ListContinue3">
    <w:name w:val="List Continue 3"/>
    <w:basedOn w:val="List3"/>
    <w:rsid w:val="005A4C0A"/>
    <w:pPr>
      <w:ind w:left="1021" w:firstLine="0"/>
    </w:pPr>
  </w:style>
  <w:style w:type="paragraph" w:styleId="ListContinue4">
    <w:name w:val="List Continue 4"/>
    <w:basedOn w:val="List4"/>
    <w:rsid w:val="005A4C0A"/>
    <w:pPr>
      <w:ind w:firstLine="0"/>
    </w:pPr>
  </w:style>
  <w:style w:type="paragraph" w:styleId="ListContinue5">
    <w:name w:val="List Continue 5"/>
    <w:basedOn w:val="List5"/>
    <w:rsid w:val="005A4C0A"/>
    <w:pPr>
      <w:ind w:firstLine="0"/>
    </w:pPr>
  </w:style>
  <w:style w:type="paragraph" w:styleId="ListNumber3">
    <w:name w:val="List Number 3"/>
    <w:basedOn w:val="List3"/>
    <w:rsid w:val="005A4C0A"/>
    <w:pPr>
      <w:numPr>
        <w:numId w:val="4"/>
      </w:numPr>
    </w:pPr>
  </w:style>
  <w:style w:type="paragraph" w:styleId="ListNumber4">
    <w:name w:val="List Number 4"/>
    <w:basedOn w:val="List4"/>
    <w:rsid w:val="005A4C0A"/>
    <w:pPr>
      <w:numPr>
        <w:numId w:val="5"/>
      </w:numPr>
    </w:pPr>
  </w:style>
  <w:style w:type="paragraph" w:styleId="ListNumber5">
    <w:name w:val="List Number 5"/>
    <w:basedOn w:val="List5"/>
    <w:rsid w:val="005A4C0A"/>
    <w:pPr>
      <w:numPr>
        <w:numId w:val="6"/>
      </w:numPr>
    </w:pPr>
  </w:style>
  <w:style w:type="paragraph" w:styleId="BlockText">
    <w:name w:val="Block Text"/>
    <w:basedOn w:val="Normal"/>
    <w:rsid w:val="005A4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C0A"/>
    <w:rPr>
      <w:sz w:val="16"/>
      <w:vertAlign w:val="superscript"/>
    </w:rPr>
  </w:style>
  <w:style w:type="character" w:customStyle="1" w:styleId="Symbols">
    <w:name w:val="Symbols"/>
    <w:basedOn w:val="DefaultParagraphFont"/>
    <w:rsid w:val="005A4C0A"/>
    <w:rPr>
      <w:rFonts w:ascii="Symbol" w:hAnsi="Symbol"/>
    </w:rPr>
  </w:style>
  <w:style w:type="character" w:customStyle="1" w:styleId="MenuOptions">
    <w:name w:val="Menu Options"/>
    <w:basedOn w:val="DefaultParagraphFont"/>
    <w:rsid w:val="005A4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C0A"/>
    <w:rPr>
      <w:b/>
    </w:rPr>
  </w:style>
  <w:style w:type="character" w:customStyle="1" w:styleId="Underlined">
    <w:name w:val="Underlined"/>
    <w:basedOn w:val="DefaultParagraphFont"/>
    <w:rsid w:val="005A4C0A"/>
    <w:rPr>
      <w:u w:val="single"/>
    </w:rPr>
  </w:style>
  <w:style w:type="paragraph" w:customStyle="1" w:styleId="TableBodyTextRight">
    <w:name w:val="Table Body Text Right"/>
    <w:basedOn w:val="TableBodyText"/>
    <w:rsid w:val="005A4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C0A"/>
    <w:rPr>
      <w:sz w:val="18"/>
    </w:rPr>
  </w:style>
  <w:style w:type="paragraph" w:customStyle="1" w:styleId="BodySmallRight">
    <w:name w:val="Body Small Right"/>
    <w:basedOn w:val="BodyTextRight"/>
    <w:rsid w:val="005A4C0A"/>
    <w:rPr>
      <w:sz w:val="18"/>
      <w:szCs w:val="18"/>
    </w:rPr>
  </w:style>
  <w:style w:type="paragraph" w:customStyle="1" w:styleId="MarginEdition">
    <w:name w:val="Margin Edition"/>
    <w:basedOn w:val="MarginNote"/>
    <w:rsid w:val="005A4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C0A"/>
    <w:rPr>
      <w:sz w:val="2"/>
      <w:szCs w:val="2"/>
    </w:rPr>
  </w:style>
  <w:style w:type="character" w:customStyle="1" w:styleId="Small">
    <w:name w:val="Small"/>
    <w:basedOn w:val="DefaultParagraphFont"/>
    <w:rsid w:val="005A4C0A"/>
    <w:rPr>
      <w:sz w:val="16"/>
    </w:rPr>
  </w:style>
  <w:style w:type="paragraph" w:customStyle="1" w:styleId="WideTable">
    <w:name w:val="Wide Table"/>
    <w:basedOn w:val="Normal"/>
    <w:rsid w:val="005A4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C0A"/>
  </w:style>
  <w:style w:type="paragraph" w:styleId="Quote">
    <w:name w:val="Quote"/>
    <w:basedOn w:val="Heading1"/>
    <w:link w:val="QuoteChar"/>
    <w:qFormat/>
    <w:rsid w:val="005A4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C0A"/>
    <w:pPr>
      <w:pageBreakBefore/>
    </w:pPr>
  </w:style>
  <w:style w:type="paragraph" w:customStyle="1" w:styleId="Border">
    <w:name w:val="Border"/>
    <w:basedOn w:val="Normal"/>
    <w:qFormat/>
    <w:rsid w:val="005A4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C0A"/>
    <w:rPr>
      <w:u w:val="single"/>
    </w:rPr>
  </w:style>
  <w:style w:type="character" w:customStyle="1" w:styleId="BoldandItalics">
    <w:name w:val="Bold and Italics"/>
    <w:qFormat/>
    <w:rsid w:val="005A4C0A"/>
    <w:rPr>
      <w:b/>
      <w:i/>
      <w:u w:val="none"/>
    </w:rPr>
  </w:style>
  <w:style w:type="paragraph" w:styleId="BalloonText">
    <w:name w:val="Balloon Text"/>
    <w:basedOn w:val="Normal"/>
    <w:link w:val="BalloonTextChar"/>
    <w:rsid w:val="005A4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C0A"/>
    <w:pPr>
      <w:spacing w:before="0" w:after="0"/>
    </w:pPr>
  </w:style>
  <w:style w:type="paragraph" w:customStyle="1" w:styleId="BodyTextBold">
    <w:name w:val="Body Text Bold"/>
    <w:basedOn w:val="BodyText"/>
    <w:qFormat/>
    <w:rsid w:val="005A4C0A"/>
    <w:rPr>
      <w:b/>
    </w:rPr>
  </w:style>
  <w:style w:type="character" w:styleId="Hyperlink">
    <w:name w:val="Hyperlink"/>
    <w:basedOn w:val="DefaultParagraphFont"/>
    <w:uiPriority w:val="99"/>
    <w:unhideWhenUsed/>
    <w:rsid w:val="00136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3599</Characters>
  <Application>Microsoft Office Word</Application>
  <DocSecurity>0</DocSecurity>
  <Lines>179</Lines>
  <Paragraphs>92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TLIU3011 Implement and monitor environmentally sustainable work practices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