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5D3" w:rsidP="004165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TLIU2012 Participate in environmentally sustainable work practices</w:t>
      </w:r>
      <w:r>
        <w:fldChar w:fldCharType="end"/>
      </w:r>
    </w:p>
    <w:p w:rsidR="004165D3" w:rsidP="004165D3">
      <w:pPr>
        <w:pStyle w:val="Version"/>
        <w:sectPr w:rsidSect="00D604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04D9" w:rsidP="00D604D9">
      <w:pPr>
        <w:pStyle w:val="SuperHeading"/>
      </w:pPr>
      <w:r w:rsidRPr="00D604D9">
        <w:t>TLIU2012 Participate in environmentally sustainable work practices</w:t>
      </w:r>
    </w:p>
    <w:p w:rsidR="00000000" w:rsidRPr="00D604D9" w:rsidP="00D604D9">
      <w:pPr>
        <w:pStyle w:val="Heading1"/>
      </w:pPr>
      <w:bookmarkStart w:id="1" w:name="O_1091684"/>
      <w:bookmarkEnd w:id="1"/>
      <w:r w:rsidRPr="00D604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rPr>
                <w:rStyle w:val="SpecialBold"/>
              </w:rPr>
              <w:t>Release 2</w:t>
            </w:r>
            <w:r w:rsidRPr="00D604D9">
              <w:t>. This is the second release of this unit of competency in the TLI Transport and Logistics Training Package:</w:t>
            </w:r>
          </w:p>
          <w:p w:rsidR="00000000" w:rsidP="00D604D9">
            <w:pPr>
              <w:pStyle w:val="ListBullet"/>
              <w:rPr>
                <w:lang w:val="en-NZ"/>
              </w:rPr>
            </w:pPr>
            <w:r w:rsidRPr="00D604D9">
              <w:t>Minor statement changes in Assessment Conditions.</w:t>
            </w:r>
          </w:p>
        </w:tc>
      </w:tr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rPr>
                <w:rStyle w:val="SpecialBold"/>
              </w:rPr>
              <w:t>Release 1</w:t>
            </w:r>
            <w:r w:rsidRPr="00D604D9">
              <w:t>. This is the first release of this unit of competency in the TLI Transport and Logistics Training Package.</w:t>
            </w:r>
          </w:p>
        </w:tc>
      </w:tr>
    </w:tbl>
    <w:p w:rsidR="00000000" w:rsidRPr="00D604D9" w:rsidP="00D604D9">
      <w:pPr>
        <w:pStyle w:val="NoPaddingFontSize1"/>
      </w:pPr>
    </w:p>
    <w:p w:rsidR="00000000" w:rsidRPr="00D604D9" w:rsidP="00D604D9">
      <w:pPr>
        <w:pStyle w:val="AllowPageBreak"/>
      </w:pPr>
    </w:p>
    <w:p w:rsidR="00000000" w:rsidRPr="00D604D9" w:rsidP="00D604D9">
      <w:pPr>
        <w:pStyle w:val="Heading1"/>
      </w:pPr>
      <w:bookmarkStart w:id="2" w:name="O_1091683"/>
      <w:bookmarkEnd w:id="2"/>
      <w:r w:rsidRPr="00D604D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t>This unit involves the skills and knowledge required to</w:t>
            </w:r>
            <w:r w:rsidRPr="00D604D9">
              <w:t xml:space="preserve"> participate in environmentally sustainable work practices.</w:t>
            </w:r>
          </w:p>
          <w:p w:rsidR="00000000" w:rsidRPr="00D604D9" w:rsidP="00D604D9">
            <w:pPr>
              <w:pStyle w:val="BodyText"/>
            </w:pPr>
            <w:r w:rsidRPr="00D604D9">
              <w:t>It includes identifying current resource usage, complying with environmental regulations and implementing performance improvement strategies to reduce negative environmental impacts of work practi</w:t>
            </w:r>
            <w:r w:rsidRPr="00D604D9">
              <w:t>ces.</w:t>
            </w:r>
          </w:p>
          <w:p w:rsidR="00000000" w:rsidRPr="00D604D9" w:rsidP="00D604D9">
            <w:pPr>
              <w:pStyle w:val="BodyText"/>
            </w:pPr>
            <w:r w:rsidRPr="00D604D9">
              <w:t>This unit applies to individuals who work with others, often in a team environment and who participate in environmentally sustainable work practices.</w:t>
            </w:r>
          </w:p>
          <w:p w:rsidR="00000000" w:rsidRPr="00D604D9" w:rsidP="00D604D9">
            <w:pPr>
              <w:pStyle w:val="BodyText"/>
            </w:pPr>
            <w:r w:rsidRPr="00D604D9">
              <w:t>No licensing, legislative or certification requirements apply to this unit at the time of publication</w:t>
            </w:r>
            <w:r w:rsidRPr="00D604D9">
              <w:t>.</w:t>
            </w:r>
          </w:p>
        </w:tc>
      </w:tr>
    </w:tbl>
    <w:p w:rsidR="00000000" w:rsidRPr="00D604D9" w:rsidP="00D604D9">
      <w:pPr>
        <w:pStyle w:val="NoPaddingFontSize1"/>
      </w:pPr>
    </w:p>
    <w:p w:rsidR="00000000" w:rsidRPr="00D604D9" w:rsidP="00D604D9">
      <w:pPr>
        <w:pStyle w:val="AllowPageBreak"/>
      </w:pPr>
    </w:p>
    <w:p w:rsidR="00000000" w:rsidRPr="00D604D9" w:rsidP="00D604D9">
      <w:pPr>
        <w:pStyle w:val="Heading1"/>
      </w:pPr>
      <w:bookmarkStart w:id="3" w:name="O_1091682"/>
      <w:bookmarkEnd w:id="3"/>
      <w:r w:rsidRPr="00D604D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t>Not applicable.</w:t>
            </w:r>
          </w:p>
        </w:tc>
      </w:tr>
    </w:tbl>
    <w:p w:rsidR="00000000" w:rsidRPr="00D604D9" w:rsidP="00D604D9">
      <w:pPr>
        <w:pStyle w:val="NoPaddingFontSize1"/>
      </w:pPr>
    </w:p>
    <w:p w:rsidR="00000000" w:rsidRPr="00D604D9" w:rsidP="00D604D9">
      <w:pPr>
        <w:pStyle w:val="AllowPageBreak"/>
      </w:pPr>
    </w:p>
    <w:p w:rsidR="00000000" w:rsidRPr="00D604D9" w:rsidP="00D604D9">
      <w:pPr>
        <w:pStyle w:val="Heading1"/>
      </w:pPr>
      <w:bookmarkStart w:id="4" w:name="O_1091681"/>
      <w:bookmarkEnd w:id="4"/>
      <w:r w:rsidRPr="00D604D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t>U ‒ Environment</w:t>
            </w:r>
          </w:p>
        </w:tc>
      </w:tr>
    </w:tbl>
    <w:p w:rsidR="00000000" w:rsidRPr="00D604D9" w:rsidP="00D604D9">
      <w:pPr>
        <w:pStyle w:val="NoPaddingFontSize1"/>
      </w:pPr>
    </w:p>
    <w:p w:rsidR="00000000" w:rsidRPr="00D604D9" w:rsidP="00D604D9">
      <w:pPr>
        <w:pStyle w:val="AllowPageBreak"/>
      </w:pPr>
    </w:p>
    <w:p w:rsidR="00000000" w:rsidRPr="00D604D9" w:rsidP="00D604D9">
      <w:pPr>
        <w:pStyle w:val="Heading1"/>
      </w:pPr>
      <w:bookmarkStart w:id="5" w:name="O_1091680"/>
      <w:bookmarkEnd w:id="5"/>
      <w:r w:rsidRPr="00D604D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t>Rail sector.</w:t>
            </w:r>
          </w:p>
        </w:tc>
      </w:tr>
    </w:tbl>
    <w:p w:rsidR="00000000" w:rsidRPr="00D604D9" w:rsidP="00D604D9">
      <w:pPr>
        <w:pStyle w:val="NoPaddingFontSize1"/>
      </w:pPr>
    </w:p>
    <w:p w:rsidR="00000000" w:rsidRPr="00D604D9" w:rsidP="00D604D9">
      <w:pPr>
        <w:pStyle w:val="AllowPageBreak"/>
      </w:pPr>
    </w:p>
    <w:p w:rsidR="00000000" w:rsidRPr="00D604D9" w:rsidP="00D604D9">
      <w:pPr>
        <w:pStyle w:val="Heading1"/>
      </w:pPr>
      <w:bookmarkStart w:id="6" w:name="O_1091679"/>
      <w:bookmarkEnd w:id="6"/>
      <w:r w:rsidRPr="00D604D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rPr>
                <w:rStyle w:val="SpecialBold"/>
              </w:rPr>
              <w:t>PERFORMANCE CRITERIA</w:t>
            </w:r>
          </w:p>
        </w:tc>
      </w:tr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t xml:space="preserve">Elements describe the essential </w:t>
            </w:r>
            <w:r w:rsidRPr="00D604D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t xml:space="preserve">Performance criteria describe the performance needed to </w:t>
            </w:r>
            <w:r w:rsidRPr="00D604D9">
              <w:t>demonstrate achievement of the element.</w:t>
            </w:r>
          </w:p>
        </w:tc>
      </w:tr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rPr>
                <w:rStyle w:val="SpecialBold"/>
              </w:rPr>
              <w:t>Identify current resource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t>Workplace environmental and resource efficiency issues are identified</w:t>
            </w:r>
          </w:p>
        </w:tc>
      </w:tr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t>R</w:t>
            </w:r>
            <w:r w:rsidRPr="00D604D9">
              <w:t>esources used in own work role are identified</w:t>
            </w:r>
          </w:p>
        </w:tc>
      </w:tr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t>Current use of identified resources is documented in relation to identified workplace environmental and resource efficiency issues</w:t>
            </w:r>
          </w:p>
        </w:tc>
      </w:tr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rPr>
                <w:rStyle w:val="SpecialBold"/>
              </w:rPr>
              <w:t>Comply with environmental regulations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t>Workplace environmental hazards are identified and reported to appropriate personnel</w:t>
            </w:r>
          </w:p>
        </w:tc>
      </w:tr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t>Organisational procedures are followed to ensure compliance with environmental regulations</w:t>
            </w:r>
          </w:p>
        </w:tc>
      </w:tr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t>Environmental breaches or potential breaches are reported to appro</w:t>
            </w:r>
            <w:r w:rsidRPr="00D604D9">
              <w:t>priate personnel</w:t>
            </w:r>
          </w:p>
        </w:tc>
      </w:tr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rPr>
                <w:rStyle w:val="SpecialBold"/>
              </w:rPr>
              <w:t>Implement performance improvement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t>Organisational plans to improve environmental practices and resource efficiency are followed</w:t>
            </w:r>
          </w:p>
        </w:tc>
      </w:tr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D9">
            <w:pPr>
              <w:pStyle w:val="BodyText"/>
              <w:rPr>
                <w:lang w:val="en-NZ"/>
              </w:rPr>
            </w:pPr>
            <w:r w:rsidRPr="00D604D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t>Suggestions are made for improvements to workplace practices in own work area</w:t>
            </w:r>
          </w:p>
        </w:tc>
      </w:tr>
    </w:tbl>
    <w:p w:rsidR="00000000" w:rsidRPr="00D604D9" w:rsidP="00D604D9">
      <w:pPr>
        <w:pStyle w:val="NoPaddingFontSize1"/>
      </w:pPr>
    </w:p>
    <w:p w:rsidR="00000000" w:rsidRPr="00D604D9" w:rsidP="00D604D9">
      <w:pPr>
        <w:pStyle w:val="AllowPageBreak"/>
      </w:pPr>
    </w:p>
    <w:p w:rsidR="00000000" w:rsidRPr="00D604D9" w:rsidP="00D604D9">
      <w:pPr>
        <w:pStyle w:val="Heading1"/>
      </w:pPr>
      <w:bookmarkStart w:id="7" w:name="O_1091678"/>
      <w:bookmarkEnd w:id="7"/>
      <w:r w:rsidRPr="00D604D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t>Foundation skills essential to performance are explicit in the performance criteria of this unit of competency.</w:t>
            </w:r>
          </w:p>
        </w:tc>
      </w:tr>
    </w:tbl>
    <w:p w:rsidR="00000000" w:rsidRPr="00D604D9" w:rsidP="00D604D9">
      <w:pPr>
        <w:pStyle w:val="NoPaddingFontSize1"/>
      </w:pPr>
    </w:p>
    <w:p w:rsidR="00000000" w:rsidRPr="00D604D9" w:rsidP="00D604D9">
      <w:pPr>
        <w:pStyle w:val="AllowPageBreak"/>
      </w:pPr>
    </w:p>
    <w:p w:rsidR="00000000" w:rsidRPr="00D604D9" w:rsidP="00D604D9">
      <w:pPr>
        <w:pStyle w:val="Heading1"/>
      </w:pPr>
      <w:bookmarkStart w:id="8" w:name="O_1091677"/>
      <w:bookmarkEnd w:id="8"/>
      <w:r w:rsidRPr="00D604D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t>Range is restricted to essential operating conditions and any other</w:t>
            </w:r>
            <w:r w:rsidRPr="00D604D9">
              <w:t xml:space="preserve"> variables essential to the work environment.</w:t>
            </w:r>
          </w:p>
          <w:p w:rsidR="00000000" w:rsidRPr="00D604D9" w:rsidP="00D604D9">
            <w:pPr>
              <w:pStyle w:val="BodyText"/>
            </w:pPr>
            <w:r w:rsidRPr="00D604D9">
              <w:t>Non-essential conditions can be found in the TLI Transport and Logistics Training Package Companion Volume Implementation Guide.</w:t>
            </w:r>
          </w:p>
        </w:tc>
      </w:tr>
    </w:tbl>
    <w:p w:rsidR="00000000" w:rsidRPr="00D604D9" w:rsidP="00D604D9">
      <w:pPr>
        <w:pStyle w:val="NoPaddingFontSize1"/>
      </w:pPr>
    </w:p>
    <w:p w:rsidR="00000000" w:rsidRPr="00D604D9" w:rsidP="00D604D9">
      <w:pPr>
        <w:pStyle w:val="AllowPageBreak"/>
      </w:pPr>
    </w:p>
    <w:p w:rsidR="00000000" w:rsidRPr="00D604D9" w:rsidP="00D604D9">
      <w:pPr>
        <w:pStyle w:val="Heading1"/>
      </w:pPr>
      <w:bookmarkStart w:id="9" w:name="O_1091676"/>
      <w:bookmarkEnd w:id="9"/>
      <w:r w:rsidRPr="00D604D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4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D9" w:rsidP="00D604D9">
            <w:pPr>
              <w:pStyle w:val="BodyText"/>
            </w:pPr>
            <w:r w:rsidRPr="00D604D9">
              <w:t>This unit replaces and is equivalent to TLIU2012A Participate in environmentally sustainable work practices.</w:t>
            </w:r>
          </w:p>
        </w:tc>
      </w:tr>
    </w:tbl>
    <w:p w:rsidR="00000000" w:rsidRPr="00D604D9" w:rsidP="00D604D9">
      <w:pPr>
        <w:pStyle w:val="NoPaddingFontSize1"/>
      </w:pPr>
    </w:p>
    <w:p w:rsidR="00000000" w:rsidRPr="00D604D9" w:rsidP="00D604D9">
      <w:pPr>
        <w:pStyle w:val="AllowPageBreak"/>
      </w:pPr>
    </w:p>
    <w:p w:rsidR="00000000" w:rsidRPr="00D604D9" w:rsidP="00D604D9">
      <w:pPr>
        <w:pStyle w:val="Heading1"/>
      </w:pPr>
      <w:bookmarkStart w:id="10" w:name="O_1091685"/>
      <w:bookmarkEnd w:id="10"/>
      <w:r w:rsidRPr="00D604D9">
        <w:t>Links</w:t>
      </w:r>
    </w:p>
    <w:p w:rsidR="00000000" w:rsidRPr="00D604D9" w:rsidP="004165D3">
      <w:pPr>
        <w:pStyle w:val="BodyText"/>
      </w:pPr>
      <w:r w:rsidRPr="00D604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61AD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604D9" w:rsidP="00D604D9"/>
    <w:sectPr w:rsidSect="00D604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D9" w:rsidRPr="004165D3" w:rsidP="004165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D3" w:rsidP="00D604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5D3" w:rsidP="00D604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165D3" w:rsidP="00D604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4D9" w:rsidRPr="004165D3" w:rsidP="004165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D3" w:rsidRPr="002D2AF8" w:rsidP="00D604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TLIU2012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165D3" w:rsidP="00D604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3A6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9CD7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4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4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4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4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4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4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4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4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4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4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4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4D9"/>
  </w:style>
  <w:style w:type="character" w:customStyle="1" w:styleId="Heading1Char">
    <w:name w:val="Heading 1 Char"/>
    <w:basedOn w:val="DefaultParagraphFont"/>
    <w:link w:val="Heading1"/>
    <w:rsid w:val="00D604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4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4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4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4D9"/>
    <w:rPr>
      <w:b/>
      <w:spacing w:val="0"/>
    </w:rPr>
  </w:style>
  <w:style w:type="paragraph" w:customStyle="1" w:styleId="SuperHeading">
    <w:name w:val="SuperHeading"/>
    <w:basedOn w:val="Normal"/>
    <w:rsid w:val="00D604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4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04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4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4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4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4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4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4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4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4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4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4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4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4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4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4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4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4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4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4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4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4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4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4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4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4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4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4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4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4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4D9"/>
    <w:rPr>
      <w:i/>
    </w:rPr>
  </w:style>
  <w:style w:type="paragraph" w:styleId="Caption">
    <w:name w:val="caption"/>
    <w:basedOn w:val="BodyText"/>
    <w:next w:val="Normal"/>
    <w:qFormat/>
    <w:rsid w:val="00D604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4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4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4D9"/>
  </w:style>
  <w:style w:type="paragraph" w:styleId="TableofFigures">
    <w:name w:val="table of figures"/>
    <w:basedOn w:val="Normal"/>
    <w:next w:val="Normal"/>
    <w:semiHidden/>
    <w:rsid w:val="00D604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4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04D9"/>
    <w:rPr>
      <w:rFonts w:ascii="Wingdings" w:hAnsi="Wingdings"/>
    </w:rPr>
  </w:style>
  <w:style w:type="paragraph" w:customStyle="1" w:styleId="TableHeading">
    <w:name w:val="Table Heading"/>
    <w:basedOn w:val="HeadingBase"/>
    <w:rsid w:val="00D604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4D9"/>
    <w:rPr>
      <w:color w:val="0033CC"/>
      <w:u w:val="none"/>
    </w:rPr>
  </w:style>
  <w:style w:type="paragraph" w:customStyle="1" w:styleId="BodyTextRight">
    <w:name w:val="Body Text Right"/>
    <w:basedOn w:val="BodyText"/>
    <w:rsid w:val="00D604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4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4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4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4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4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4D9"/>
    <w:rPr>
      <w:sz w:val="32"/>
    </w:rPr>
  </w:style>
  <w:style w:type="paragraph" w:customStyle="1" w:styleId="HeadingProcedure">
    <w:name w:val="Heading Procedure"/>
    <w:basedOn w:val="HeadingBase"/>
    <w:next w:val="Normal"/>
    <w:rsid w:val="00D604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4D9"/>
    <w:pPr>
      <w:spacing w:before="60" w:after="60"/>
    </w:pPr>
  </w:style>
  <w:style w:type="paragraph" w:styleId="ListContinue">
    <w:name w:val="List Continue"/>
    <w:basedOn w:val="List"/>
    <w:rsid w:val="00D604D9"/>
    <w:pPr>
      <w:ind w:firstLine="0"/>
    </w:pPr>
  </w:style>
  <w:style w:type="paragraph" w:customStyle="1" w:styleId="ListNote">
    <w:name w:val="List Note"/>
    <w:basedOn w:val="List"/>
    <w:rsid w:val="00D604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4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4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4D9"/>
    <w:rPr>
      <w:rFonts w:ascii="Courier New" w:hAnsi="Courier New"/>
    </w:rPr>
  </w:style>
  <w:style w:type="paragraph" w:customStyle="1" w:styleId="NoteBullet">
    <w:name w:val="Note Bullet"/>
    <w:basedOn w:val="Note"/>
    <w:rsid w:val="00D604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4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4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4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4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04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4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4D9"/>
    <w:rPr>
      <w:b/>
      <w:smallCaps/>
    </w:rPr>
  </w:style>
  <w:style w:type="paragraph" w:customStyle="1" w:styleId="TableListNumber">
    <w:name w:val="Table List Number"/>
    <w:basedOn w:val="ListNumber"/>
    <w:rsid w:val="00D604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4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4D9"/>
    <w:pPr>
      <w:numPr>
        <w:numId w:val="8"/>
      </w:numPr>
    </w:pPr>
  </w:style>
  <w:style w:type="paragraph" w:customStyle="1" w:styleId="ListAlpha2">
    <w:name w:val="List Alpha 2"/>
    <w:basedOn w:val="List2"/>
    <w:rsid w:val="00D604D9"/>
    <w:pPr>
      <w:numPr>
        <w:numId w:val="7"/>
      </w:numPr>
    </w:pPr>
  </w:style>
  <w:style w:type="paragraph" w:styleId="List2">
    <w:name w:val="List 2"/>
    <w:basedOn w:val="BodyText"/>
    <w:rsid w:val="00D604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4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4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4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4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4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04D9"/>
    <w:pPr>
      <w:numPr>
        <w:numId w:val="3"/>
      </w:numPr>
    </w:pPr>
  </w:style>
  <w:style w:type="paragraph" w:styleId="ListContinue2">
    <w:name w:val="List Continue 2"/>
    <w:basedOn w:val="List2"/>
    <w:rsid w:val="00D604D9"/>
    <w:pPr>
      <w:ind w:firstLine="0"/>
    </w:pPr>
  </w:style>
  <w:style w:type="paragraph" w:styleId="ListContinue3">
    <w:name w:val="List Continue 3"/>
    <w:basedOn w:val="List3"/>
    <w:rsid w:val="00D604D9"/>
    <w:pPr>
      <w:ind w:left="1021" w:firstLine="0"/>
    </w:pPr>
  </w:style>
  <w:style w:type="paragraph" w:styleId="ListContinue4">
    <w:name w:val="List Continue 4"/>
    <w:basedOn w:val="List4"/>
    <w:rsid w:val="00D604D9"/>
    <w:pPr>
      <w:ind w:firstLine="0"/>
    </w:pPr>
  </w:style>
  <w:style w:type="paragraph" w:styleId="ListContinue5">
    <w:name w:val="List Continue 5"/>
    <w:basedOn w:val="List5"/>
    <w:rsid w:val="00D604D9"/>
    <w:pPr>
      <w:ind w:firstLine="0"/>
    </w:pPr>
  </w:style>
  <w:style w:type="paragraph" w:styleId="ListNumber3">
    <w:name w:val="List Number 3"/>
    <w:basedOn w:val="List3"/>
    <w:rsid w:val="00D604D9"/>
    <w:pPr>
      <w:numPr>
        <w:numId w:val="4"/>
      </w:numPr>
    </w:pPr>
  </w:style>
  <w:style w:type="paragraph" w:styleId="ListNumber4">
    <w:name w:val="List Number 4"/>
    <w:basedOn w:val="List4"/>
    <w:rsid w:val="00D604D9"/>
    <w:pPr>
      <w:numPr>
        <w:numId w:val="5"/>
      </w:numPr>
    </w:pPr>
  </w:style>
  <w:style w:type="paragraph" w:styleId="ListNumber5">
    <w:name w:val="List Number 5"/>
    <w:basedOn w:val="List5"/>
    <w:rsid w:val="00D604D9"/>
    <w:pPr>
      <w:numPr>
        <w:numId w:val="6"/>
      </w:numPr>
    </w:pPr>
  </w:style>
  <w:style w:type="paragraph" w:styleId="BlockText">
    <w:name w:val="Block Text"/>
    <w:basedOn w:val="Normal"/>
    <w:rsid w:val="00D604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4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4D9"/>
    <w:rPr>
      <w:sz w:val="16"/>
      <w:vertAlign w:val="superscript"/>
    </w:rPr>
  </w:style>
  <w:style w:type="character" w:customStyle="1" w:styleId="Symbols">
    <w:name w:val="Symbols"/>
    <w:basedOn w:val="DefaultParagraphFont"/>
    <w:rsid w:val="00D604D9"/>
    <w:rPr>
      <w:rFonts w:ascii="Symbol" w:hAnsi="Symbol"/>
    </w:rPr>
  </w:style>
  <w:style w:type="character" w:customStyle="1" w:styleId="MenuOptions">
    <w:name w:val="Menu Options"/>
    <w:basedOn w:val="DefaultParagraphFont"/>
    <w:rsid w:val="00D604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4D9"/>
    <w:rPr>
      <w:b/>
    </w:rPr>
  </w:style>
  <w:style w:type="character" w:customStyle="1" w:styleId="Underlined">
    <w:name w:val="Underlined"/>
    <w:basedOn w:val="DefaultParagraphFont"/>
    <w:rsid w:val="00D604D9"/>
    <w:rPr>
      <w:u w:val="single"/>
    </w:rPr>
  </w:style>
  <w:style w:type="paragraph" w:customStyle="1" w:styleId="TableBodyTextRight">
    <w:name w:val="Table Body Text Right"/>
    <w:basedOn w:val="TableBodyText"/>
    <w:rsid w:val="00D604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4D9"/>
    <w:rPr>
      <w:sz w:val="18"/>
    </w:rPr>
  </w:style>
  <w:style w:type="paragraph" w:customStyle="1" w:styleId="BodySmallRight">
    <w:name w:val="Body Small Right"/>
    <w:basedOn w:val="BodyTextRight"/>
    <w:rsid w:val="00D604D9"/>
    <w:rPr>
      <w:sz w:val="18"/>
      <w:szCs w:val="18"/>
    </w:rPr>
  </w:style>
  <w:style w:type="paragraph" w:customStyle="1" w:styleId="MarginEdition">
    <w:name w:val="Margin Edition"/>
    <w:basedOn w:val="MarginNote"/>
    <w:rsid w:val="00D604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4D9"/>
    <w:rPr>
      <w:sz w:val="2"/>
      <w:szCs w:val="2"/>
    </w:rPr>
  </w:style>
  <w:style w:type="character" w:customStyle="1" w:styleId="Small">
    <w:name w:val="Small"/>
    <w:basedOn w:val="DefaultParagraphFont"/>
    <w:rsid w:val="00D604D9"/>
    <w:rPr>
      <w:sz w:val="16"/>
    </w:rPr>
  </w:style>
  <w:style w:type="paragraph" w:customStyle="1" w:styleId="WideTable">
    <w:name w:val="Wide Table"/>
    <w:basedOn w:val="Normal"/>
    <w:rsid w:val="00D604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4D9"/>
  </w:style>
  <w:style w:type="paragraph" w:styleId="Quote">
    <w:name w:val="Quote"/>
    <w:basedOn w:val="Heading1"/>
    <w:link w:val="QuoteChar"/>
    <w:qFormat/>
    <w:rsid w:val="00D604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4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4D9"/>
    <w:pPr>
      <w:pageBreakBefore/>
    </w:pPr>
  </w:style>
  <w:style w:type="paragraph" w:customStyle="1" w:styleId="Border">
    <w:name w:val="Border"/>
    <w:basedOn w:val="Normal"/>
    <w:qFormat/>
    <w:rsid w:val="00D604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4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4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4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4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4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4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4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4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4D9"/>
    <w:rPr>
      <w:u w:val="single"/>
    </w:rPr>
  </w:style>
  <w:style w:type="character" w:customStyle="1" w:styleId="BoldandItalics">
    <w:name w:val="Bold and Italics"/>
    <w:qFormat/>
    <w:rsid w:val="00D604D9"/>
    <w:rPr>
      <w:b/>
      <w:i/>
      <w:u w:val="none"/>
    </w:rPr>
  </w:style>
  <w:style w:type="paragraph" w:styleId="BalloonText">
    <w:name w:val="Balloon Text"/>
    <w:basedOn w:val="Normal"/>
    <w:link w:val="BalloonTextChar"/>
    <w:rsid w:val="00D60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4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4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4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4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4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4D9"/>
    <w:pPr>
      <w:spacing w:before="0" w:after="0"/>
    </w:pPr>
  </w:style>
  <w:style w:type="paragraph" w:customStyle="1" w:styleId="BodyTextBold">
    <w:name w:val="Body Text Bold"/>
    <w:basedOn w:val="BodyText"/>
    <w:qFormat/>
    <w:rsid w:val="00D604D9"/>
    <w:rPr>
      <w:b/>
    </w:rPr>
  </w:style>
  <w:style w:type="character" w:styleId="Hyperlink">
    <w:name w:val="Hyperlink"/>
    <w:basedOn w:val="DefaultParagraphFont"/>
    <w:uiPriority w:val="99"/>
    <w:unhideWhenUsed/>
    <w:rsid w:val="004165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396</Words>
  <Characters>2657</Characters>
  <Application>Microsoft Office Word</Application>
  <DocSecurity>0</DocSecurity>
  <Lines>120</Lines>
  <Paragraphs>66</Paragraphs>
  <ScaleCrop>false</ScaleCrop>
  <Company>Author-it Software Corporation Ltd.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TLIU2012 Participate in environmentally sustainable work practices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