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98C" w:rsidP="00E939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TLIU2012 Participate in environmentally sustainable work practices</w:t>
      </w:r>
      <w:r>
        <w:fldChar w:fldCharType="end"/>
      </w:r>
    </w:p>
    <w:p w:rsidR="00E9398C" w:rsidP="00E9398C">
      <w:pPr>
        <w:pStyle w:val="Version"/>
        <w:sectPr w:rsidSect="00180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00EB" w:rsidP="001800EB">
      <w:pPr>
        <w:pStyle w:val="SuperHeading"/>
      </w:pPr>
      <w:r w:rsidRPr="001800EB">
        <w:t>TLIU2012 Participate in environmentally sustainable work practices</w:t>
      </w:r>
    </w:p>
    <w:p w:rsidR="00000000" w:rsidRPr="001800EB" w:rsidP="001800EB">
      <w:pPr>
        <w:pStyle w:val="Heading1"/>
      </w:pPr>
      <w:bookmarkStart w:id="1" w:name="O_1091684"/>
      <w:bookmarkEnd w:id="1"/>
      <w:r w:rsidRPr="001800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rPr>
                <w:rStyle w:val="SpecialBold"/>
              </w:rPr>
              <w:t>Release 2</w:t>
            </w:r>
            <w:r w:rsidRPr="001800EB">
              <w:t>. This is the second release of this unit of competency in the TLI Transport and Logistics Training Package:</w:t>
            </w:r>
          </w:p>
          <w:p w:rsidR="00000000" w:rsidP="001800EB">
            <w:pPr>
              <w:pStyle w:val="ListBullet"/>
              <w:rPr>
                <w:lang w:val="en-NZ"/>
              </w:rPr>
            </w:pPr>
            <w:r w:rsidRPr="001800EB">
              <w:t>Minor statement changes in Assessment Conditions.</w:t>
            </w:r>
          </w:p>
        </w:tc>
      </w:tr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rPr>
                <w:rStyle w:val="SpecialBold"/>
              </w:rPr>
              <w:t>Release 1</w:t>
            </w:r>
            <w:r w:rsidRPr="001800EB">
              <w:t>. This is the first release of this unit of competency in the TLI Transport and Logistics Training Package.</w:t>
            </w:r>
          </w:p>
        </w:tc>
      </w:tr>
    </w:tbl>
    <w:p w:rsidR="00000000" w:rsidRPr="001800EB" w:rsidP="001800EB">
      <w:pPr>
        <w:pStyle w:val="NoPaddingFontSize1"/>
      </w:pPr>
    </w:p>
    <w:p w:rsidR="00000000" w:rsidRPr="001800EB" w:rsidP="001800EB">
      <w:pPr>
        <w:pStyle w:val="AllowPageBreak"/>
      </w:pPr>
    </w:p>
    <w:p w:rsidR="00000000" w:rsidRPr="001800EB" w:rsidP="001800EB">
      <w:pPr>
        <w:pStyle w:val="Heading1"/>
      </w:pPr>
      <w:bookmarkStart w:id="2" w:name="O_1091683"/>
      <w:bookmarkEnd w:id="2"/>
      <w:r w:rsidRPr="001800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t>This unit involves the skills and knowledge required to</w:t>
            </w:r>
            <w:r w:rsidRPr="001800EB">
              <w:t xml:space="preserve"> participate in environmentally sustainable work practices.</w:t>
            </w:r>
          </w:p>
          <w:p w:rsidR="00000000" w:rsidRPr="001800EB" w:rsidP="001800EB">
            <w:pPr>
              <w:pStyle w:val="BodyText"/>
            </w:pPr>
            <w:r w:rsidRPr="001800EB">
              <w:t>It includes identifying current resource usage, complying with environmental regulations and implementing performance improvement strategies to reduce negative environmental impacts of work practi</w:t>
            </w:r>
            <w:r w:rsidRPr="001800EB">
              <w:t>ces.</w:t>
            </w:r>
          </w:p>
          <w:p w:rsidR="00000000" w:rsidRPr="001800EB" w:rsidP="001800EB">
            <w:pPr>
              <w:pStyle w:val="BodyText"/>
            </w:pPr>
            <w:r w:rsidRPr="001800EB">
              <w:t>This unit applies to individuals who work with others, often in a team environment and who participate in environmentally sustainable work practices.</w:t>
            </w:r>
          </w:p>
          <w:p w:rsidR="00000000" w:rsidRPr="001800EB" w:rsidP="001800EB">
            <w:pPr>
              <w:pStyle w:val="BodyText"/>
            </w:pPr>
            <w:r w:rsidRPr="001800EB">
              <w:t>No licensing, legislative or certification requirements apply to this unit at the time of publication</w:t>
            </w:r>
            <w:r w:rsidRPr="001800EB">
              <w:t>.</w:t>
            </w:r>
          </w:p>
        </w:tc>
      </w:tr>
    </w:tbl>
    <w:p w:rsidR="00000000" w:rsidRPr="001800EB" w:rsidP="001800EB">
      <w:pPr>
        <w:pStyle w:val="NoPaddingFontSize1"/>
      </w:pPr>
    </w:p>
    <w:p w:rsidR="00000000" w:rsidRPr="001800EB" w:rsidP="001800EB">
      <w:pPr>
        <w:pStyle w:val="AllowPageBreak"/>
      </w:pPr>
    </w:p>
    <w:p w:rsidR="00000000" w:rsidRPr="001800EB" w:rsidP="001800EB">
      <w:pPr>
        <w:pStyle w:val="Heading1"/>
      </w:pPr>
      <w:bookmarkStart w:id="3" w:name="O_1091682"/>
      <w:bookmarkEnd w:id="3"/>
      <w:r w:rsidRPr="001800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t>Not applicable.</w:t>
            </w:r>
          </w:p>
        </w:tc>
      </w:tr>
    </w:tbl>
    <w:p w:rsidR="00000000" w:rsidRPr="001800EB" w:rsidP="001800EB">
      <w:pPr>
        <w:pStyle w:val="NoPaddingFontSize1"/>
      </w:pPr>
    </w:p>
    <w:p w:rsidR="00000000" w:rsidRPr="001800EB" w:rsidP="001800EB">
      <w:pPr>
        <w:pStyle w:val="AllowPageBreak"/>
      </w:pPr>
    </w:p>
    <w:p w:rsidR="00000000" w:rsidRPr="001800EB" w:rsidP="001800EB">
      <w:pPr>
        <w:pStyle w:val="Heading1"/>
      </w:pPr>
      <w:bookmarkStart w:id="4" w:name="O_1091681"/>
      <w:bookmarkEnd w:id="4"/>
      <w:r w:rsidRPr="001800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t>U ‒ Environment</w:t>
            </w:r>
          </w:p>
        </w:tc>
      </w:tr>
    </w:tbl>
    <w:p w:rsidR="00000000" w:rsidRPr="001800EB" w:rsidP="001800EB">
      <w:pPr>
        <w:pStyle w:val="NoPaddingFontSize1"/>
      </w:pPr>
    </w:p>
    <w:p w:rsidR="00000000" w:rsidRPr="001800EB" w:rsidP="001800EB">
      <w:pPr>
        <w:pStyle w:val="AllowPageBreak"/>
      </w:pPr>
    </w:p>
    <w:p w:rsidR="00000000" w:rsidRPr="001800EB" w:rsidP="001800EB">
      <w:pPr>
        <w:pStyle w:val="Heading1"/>
      </w:pPr>
      <w:bookmarkStart w:id="5" w:name="O_1091680"/>
      <w:bookmarkEnd w:id="5"/>
      <w:r w:rsidRPr="001800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t>Rail sector.</w:t>
            </w:r>
          </w:p>
        </w:tc>
      </w:tr>
    </w:tbl>
    <w:p w:rsidR="00000000" w:rsidRPr="001800EB" w:rsidP="001800EB">
      <w:pPr>
        <w:pStyle w:val="NoPaddingFontSize1"/>
      </w:pPr>
    </w:p>
    <w:p w:rsidR="00000000" w:rsidRPr="001800EB" w:rsidP="001800EB">
      <w:pPr>
        <w:pStyle w:val="AllowPageBreak"/>
      </w:pPr>
    </w:p>
    <w:p w:rsidR="00000000" w:rsidRPr="001800EB" w:rsidP="001800EB">
      <w:pPr>
        <w:pStyle w:val="Heading1"/>
      </w:pPr>
      <w:bookmarkStart w:id="6" w:name="O_1091679"/>
      <w:bookmarkEnd w:id="6"/>
      <w:r w:rsidRPr="001800E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rPr>
                <w:rStyle w:val="SpecialBold"/>
              </w:rPr>
              <w:t>PERFORMANCE CRITERIA</w:t>
            </w:r>
          </w:p>
        </w:tc>
      </w:tr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t xml:space="preserve">Elements describe the essential </w:t>
            </w:r>
            <w:r w:rsidRPr="001800EB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t xml:space="preserve">Performance criteria describe the performance needed to </w:t>
            </w:r>
            <w:r w:rsidRPr="001800EB">
              <w:t>demonstrate achievement of the element.</w:t>
            </w:r>
          </w:p>
        </w:tc>
      </w:tr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rPr>
                <w:rStyle w:val="SpecialBold"/>
              </w:rPr>
              <w:t>Identify current resource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t>Workplace environmental and resource efficiency issues are identified</w:t>
            </w:r>
          </w:p>
        </w:tc>
      </w:tr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t>Resources used in own work role are identified</w:t>
            </w:r>
          </w:p>
        </w:tc>
      </w:tr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t>Current use of identified resources is documented in relation to identified workplace environmental and resource efficiency issues</w:t>
            </w:r>
          </w:p>
        </w:tc>
      </w:tr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rPr>
                <w:rStyle w:val="SpecialBold"/>
              </w:rPr>
              <w:t>Comply with environmental regulations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t>Workplace environmental ha</w:t>
            </w:r>
            <w:r w:rsidRPr="001800EB">
              <w:t>zards are identified and reported to appropriate personnel</w:t>
            </w:r>
          </w:p>
        </w:tc>
      </w:tr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t>Organisational procedures are followed to ensure compliance with environmental regulations</w:t>
            </w:r>
          </w:p>
        </w:tc>
      </w:tr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t>Environmental breaches or potential breaches are reported to appropriate personnel</w:t>
            </w:r>
          </w:p>
        </w:tc>
      </w:tr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rPr>
                <w:rStyle w:val="SpecialBold"/>
              </w:rPr>
              <w:t>Implement performance improvement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t>Organisational plans to improve environmental practices and resource efficiency are followed</w:t>
            </w:r>
          </w:p>
        </w:tc>
      </w:tr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EB">
            <w:pPr>
              <w:pStyle w:val="BodyText"/>
              <w:rPr>
                <w:lang w:val="en-NZ"/>
              </w:rPr>
            </w:pPr>
            <w:r w:rsidRPr="001800E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t>Suggestions are made for improvements to workplace practices in own work area</w:t>
            </w:r>
          </w:p>
        </w:tc>
      </w:tr>
    </w:tbl>
    <w:p w:rsidR="00000000" w:rsidRPr="001800EB" w:rsidP="001800EB">
      <w:pPr>
        <w:pStyle w:val="NoPaddingFontSize1"/>
      </w:pPr>
    </w:p>
    <w:p w:rsidR="00000000" w:rsidRPr="001800EB" w:rsidP="001800EB">
      <w:pPr>
        <w:pStyle w:val="AllowPageBreak"/>
      </w:pPr>
    </w:p>
    <w:p w:rsidR="00000000" w:rsidRPr="001800EB" w:rsidP="001800EB">
      <w:pPr>
        <w:pStyle w:val="Heading1"/>
      </w:pPr>
      <w:bookmarkStart w:id="7" w:name="O_1091678"/>
      <w:bookmarkEnd w:id="7"/>
      <w:r w:rsidRPr="001800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t>Foundation skills essential to performance are explicit in the performance criteria of this unit of competency.</w:t>
            </w:r>
          </w:p>
        </w:tc>
      </w:tr>
    </w:tbl>
    <w:p w:rsidR="00000000" w:rsidRPr="001800EB" w:rsidP="001800EB">
      <w:pPr>
        <w:pStyle w:val="NoPaddingFontSize1"/>
      </w:pPr>
    </w:p>
    <w:p w:rsidR="00000000" w:rsidRPr="001800EB" w:rsidP="001800EB">
      <w:pPr>
        <w:pStyle w:val="AllowPageBreak"/>
      </w:pPr>
    </w:p>
    <w:p w:rsidR="00000000" w:rsidRPr="001800EB" w:rsidP="001800EB">
      <w:pPr>
        <w:pStyle w:val="Heading1"/>
      </w:pPr>
      <w:bookmarkStart w:id="8" w:name="O_1091677"/>
      <w:bookmarkEnd w:id="8"/>
      <w:r w:rsidRPr="001800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t>Range is restricted to essential operating conditions and any other variables essential to the work environment.</w:t>
            </w:r>
          </w:p>
          <w:p w:rsidR="00000000" w:rsidRPr="001800EB" w:rsidP="001800EB">
            <w:pPr>
              <w:pStyle w:val="BodyText"/>
            </w:pPr>
            <w:r w:rsidRPr="001800EB">
              <w:t>Non-essential conditions can be found in the TLI Transport and Logistics Training Package Companion Volume Implementation Guide.</w:t>
            </w:r>
          </w:p>
        </w:tc>
      </w:tr>
    </w:tbl>
    <w:p w:rsidR="00000000" w:rsidRPr="001800EB" w:rsidP="001800EB">
      <w:pPr>
        <w:pStyle w:val="NoPaddingFontSize1"/>
      </w:pPr>
    </w:p>
    <w:p w:rsidR="00000000" w:rsidRPr="001800EB" w:rsidP="001800EB">
      <w:pPr>
        <w:pStyle w:val="AllowPageBreak"/>
      </w:pPr>
    </w:p>
    <w:p w:rsidR="00000000" w:rsidRPr="001800EB" w:rsidP="001800EB">
      <w:pPr>
        <w:pStyle w:val="Heading1"/>
      </w:pPr>
      <w:bookmarkStart w:id="9" w:name="O_1091676"/>
      <w:bookmarkEnd w:id="9"/>
      <w:r w:rsidRPr="001800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t>This unit replaces and is equivalent to TLIU2012A Participate in environmentally sustainable work practices.</w:t>
            </w:r>
          </w:p>
        </w:tc>
      </w:tr>
    </w:tbl>
    <w:p w:rsidR="00000000" w:rsidRPr="001800EB" w:rsidP="001800EB">
      <w:pPr>
        <w:pStyle w:val="NoPaddingFontSize1"/>
      </w:pPr>
    </w:p>
    <w:p w:rsidR="00000000" w:rsidRPr="001800EB" w:rsidP="001800EB">
      <w:pPr>
        <w:pStyle w:val="AllowPageBreak"/>
      </w:pPr>
    </w:p>
    <w:p w:rsidR="00000000" w:rsidRPr="001800EB" w:rsidP="001800EB">
      <w:pPr>
        <w:pStyle w:val="Heading1"/>
      </w:pPr>
      <w:bookmarkStart w:id="10" w:name="O_1091685"/>
      <w:bookmarkEnd w:id="10"/>
      <w:r w:rsidRPr="001800EB">
        <w:t>Links</w:t>
      </w:r>
    </w:p>
    <w:p w:rsidR="00000000" w:rsidRPr="001800EB" w:rsidP="00E9398C">
      <w:pPr>
        <w:pStyle w:val="BodyText"/>
      </w:pPr>
      <w:r w:rsidRPr="001800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B17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00EB" w:rsidP="00E9398C">
      <w:pPr>
        <w:pStyle w:val="BodyText"/>
        <w:sectPr w:rsidSect="001800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00EB" w:rsidP="001800EB">
      <w:pPr>
        <w:pStyle w:val="SuperHeading"/>
      </w:pPr>
      <w:r w:rsidRPr="001800EB">
        <w:t>Assessment Requirements for TLIU2012 Participate in environmentally sustainable work practices</w:t>
      </w:r>
    </w:p>
    <w:p w:rsidR="00000000" w:rsidRPr="001800EB" w:rsidP="001800EB">
      <w:pPr>
        <w:pStyle w:val="Heading1"/>
      </w:pPr>
      <w:bookmarkStart w:id="11" w:name="O_1091674"/>
      <w:bookmarkEnd w:id="11"/>
      <w:r w:rsidRPr="001800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rPr>
                <w:rStyle w:val="SpecialBold"/>
              </w:rPr>
              <w:t>Release 2</w:t>
            </w:r>
            <w:r w:rsidRPr="001800EB">
              <w:t>. This i</w:t>
            </w:r>
            <w:r w:rsidRPr="001800EB">
              <w:t>s the second release of this unit of competency in the TLI Transport and Logistics Training Package:</w:t>
            </w:r>
          </w:p>
          <w:p w:rsidR="00000000" w:rsidP="001800EB">
            <w:pPr>
              <w:pStyle w:val="ListBullet"/>
              <w:rPr>
                <w:lang w:val="en-NZ"/>
              </w:rPr>
            </w:pPr>
            <w:r w:rsidRPr="001800EB">
              <w:t>Minor statement changes in Assessment Conditions.</w:t>
            </w:r>
          </w:p>
        </w:tc>
      </w:tr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rPr>
                <w:rStyle w:val="SpecialBold"/>
              </w:rPr>
              <w:t>Release 1</w:t>
            </w:r>
            <w:r w:rsidRPr="001800EB">
              <w:t>. This is the first release of this unit of competency in the TLI Transport and Logistics Training Package.</w:t>
            </w:r>
          </w:p>
        </w:tc>
      </w:tr>
    </w:tbl>
    <w:p w:rsidR="00000000" w:rsidRPr="001800EB" w:rsidP="001800EB">
      <w:pPr>
        <w:pStyle w:val="NoPaddingFontSize1"/>
      </w:pPr>
    </w:p>
    <w:p w:rsidR="00000000" w:rsidRPr="001800EB" w:rsidP="001800EB">
      <w:pPr>
        <w:pStyle w:val="AllowPageBreak"/>
      </w:pPr>
    </w:p>
    <w:p w:rsidR="00000000" w:rsidRPr="001800EB" w:rsidP="001800EB">
      <w:pPr>
        <w:pStyle w:val="Heading1"/>
      </w:pPr>
      <w:bookmarkStart w:id="12" w:name="O_1091673"/>
      <w:bookmarkEnd w:id="12"/>
      <w:r w:rsidRPr="001800E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t>Evidence required to demonstrate competence in this unit must be relevant to and satisfy all of the requir</w:t>
            </w:r>
            <w:r w:rsidRPr="001800EB">
              <w:t>ements of the elements and performance criteria on at least one occasion and include:</w:t>
            </w:r>
          </w:p>
          <w:p w:rsidR="00000000" w:rsidRPr="001800EB" w:rsidP="001800EB">
            <w:pPr>
              <w:pStyle w:val="ListBullet"/>
            </w:pPr>
            <w:r w:rsidRPr="001800EB">
              <w:t>assisting with enterprise plans to improve resource efficiency</w:t>
            </w:r>
          </w:p>
          <w:p w:rsidR="00000000" w:rsidRPr="001800EB" w:rsidP="001800EB">
            <w:pPr>
              <w:pStyle w:val="ListBullet"/>
            </w:pPr>
            <w:r w:rsidRPr="001800EB">
              <w:t>communicating effectively with others when questioning, listening, liaising and imparting knowledge</w:t>
            </w:r>
          </w:p>
          <w:p w:rsidR="00000000" w:rsidRPr="001800EB" w:rsidP="001800EB">
            <w:pPr>
              <w:pStyle w:val="ListBullet"/>
            </w:pPr>
            <w:r w:rsidRPr="001800EB">
              <w:t>comply</w:t>
            </w:r>
            <w:r w:rsidRPr="001800EB">
              <w:t>ing with environmental regulations</w:t>
            </w:r>
          </w:p>
          <w:p w:rsidR="00000000" w:rsidRPr="001800EB" w:rsidP="001800EB">
            <w:pPr>
              <w:pStyle w:val="ListBullet"/>
            </w:pPr>
            <w:r w:rsidRPr="001800EB">
              <w:t>identifying and measuring current resource use</w:t>
            </w:r>
          </w:p>
          <w:p w:rsidR="00000000" w:rsidRPr="001800EB" w:rsidP="001800EB">
            <w:pPr>
              <w:pStyle w:val="ListBullet"/>
            </w:pPr>
            <w:r w:rsidRPr="001800EB">
              <w:t>identifying and minimising hazards and risks</w:t>
            </w:r>
          </w:p>
          <w:p w:rsidR="00000000" w:rsidRPr="001800EB" w:rsidP="001800EB">
            <w:pPr>
              <w:pStyle w:val="ListBullet"/>
            </w:pPr>
            <w:r w:rsidRPr="001800EB">
              <w:t>organising work methodically and prioritising duties</w:t>
            </w:r>
          </w:p>
          <w:p w:rsidR="00000000" w:rsidRPr="001800EB" w:rsidP="001800EB">
            <w:pPr>
              <w:pStyle w:val="ListBullet"/>
            </w:pPr>
            <w:r w:rsidRPr="001800EB">
              <w:t>reading and interpreting job sheet, work requirements or safety data sheets (SDS)/material safety data sheets (MSDS)</w:t>
            </w:r>
          </w:p>
          <w:p w:rsidR="00000000" w:rsidRPr="001800EB" w:rsidP="001800EB">
            <w:pPr>
              <w:pStyle w:val="ListBullet"/>
            </w:pPr>
            <w:r w:rsidRPr="001800EB">
              <w:t>solving problems</w:t>
            </w:r>
          </w:p>
          <w:p w:rsidR="00000000" w:rsidRPr="001800EB" w:rsidP="001800EB">
            <w:pPr>
              <w:pStyle w:val="ListBullet"/>
            </w:pPr>
            <w:r w:rsidRPr="001800EB">
              <w:t>working in a team</w:t>
            </w:r>
          </w:p>
          <w:p w:rsidR="00000000" w:rsidRPr="001800EB" w:rsidP="001800EB">
            <w:pPr>
              <w:pStyle w:val="ListBullet"/>
            </w:pPr>
            <w:r w:rsidRPr="001800EB">
              <w:t>working safely and efficiently</w:t>
            </w:r>
          </w:p>
          <w:p w:rsidR="00000000" w:rsidRPr="001800EB" w:rsidP="001800EB">
            <w:pPr>
              <w:pStyle w:val="ListBullet"/>
            </w:pPr>
            <w:r w:rsidRPr="001800EB">
              <w:t>writing reports.</w:t>
            </w:r>
          </w:p>
        </w:tc>
      </w:tr>
    </w:tbl>
    <w:p w:rsidR="00000000" w:rsidRPr="001800EB" w:rsidP="001800EB">
      <w:pPr>
        <w:pStyle w:val="NoPaddingFontSize1"/>
      </w:pPr>
    </w:p>
    <w:p w:rsidR="00000000" w:rsidRPr="001800EB" w:rsidP="001800EB">
      <w:pPr>
        <w:pStyle w:val="AllowPageBreak"/>
      </w:pPr>
    </w:p>
    <w:p w:rsidR="00000000" w:rsidRPr="001800EB" w:rsidP="001800EB">
      <w:pPr>
        <w:pStyle w:val="Heading1"/>
      </w:pPr>
      <w:bookmarkStart w:id="13" w:name="O_1091672"/>
      <w:bookmarkEnd w:id="13"/>
      <w:r w:rsidRPr="001800E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t>Evidence require</w:t>
            </w:r>
            <w:r w:rsidRPr="001800EB">
              <w:t>d to demonstrate competence in this unit must be relevant to and satisfy all of the requirements of the elements and performance criteria and include knowledge of:</w:t>
            </w:r>
          </w:p>
          <w:p w:rsidR="00000000" w:rsidRPr="001800EB" w:rsidP="001800EB">
            <w:pPr>
              <w:pStyle w:val="ListBullet"/>
            </w:pPr>
            <w:r w:rsidRPr="001800EB">
              <w:t>environmental issues relating to:</w:t>
            </w:r>
          </w:p>
          <w:p w:rsidR="00000000" w:rsidRPr="001800EB" w:rsidP="001800EB">
            <w:pPr>
              <w:pStyle w:val="ListBullet2"/>
            </w:pPr>
            <w:r w:rsidRPr="001800EB">
              <w:t>life cycle of products: re-new, re-use and recycle</w:t>
            </w:r>
          </w:p>
          <w:p w:rsidR="00000000" w:rsidRPr="001800EB" w:rsidP="001800EB">
            <w:pPr>
              <w:pStyle w:val="ListBullet2"/>
            </w:pPr>
            <w:r w:rsidRPr="001800EB">
              <w:t>workplace/site</w:t>
            </w:r>
          </w:p>
          <w:p w:rsidR="00000000" w:rsidRPr="001800EB" w:rsidP="001800EB">
            <w:pPr>
              <w:pStyle w:val="ListBullet"/>
            </w:pPr>
            <w:r w:rsidRPr="001800EB">
              <w:t>features of an environmental management strategy:</w:t>
            </w:r>
          </w:p>
          <w:p w:rsidR="00000000" w:rsidRPr="001800EB" w:rsidP="001800EB">
            <w:pPr>
              <w:pStyle w:val="ListBullet2"/>
            </w:pPr>
            <w:r w:rsidRPr="001800EB">
              <w:t>contract requirements</w:t>
            </w:r>
          </w:p>
          <w:p w:rsidR="00000000" w:rsidRPr="001800EB" w:rsidP="001800EB">
            <w:pPr>
              <w:pStyle w:val="ListBullet2"/>
            </w:pPr>
            <w:r w:rsidRPr="001800EB">
              <w:t>energy efficiency systems and procedures</w:t>
            </w:r>
          </w:p>
          <w:p w:rsidR="00000000" w:rsidRPr="001800EB" w:rsidP="001800EB">
            <w:pPr>
              <w:pStyle w:val="ListBullet2"/>
            </w:pPr>
            <w:r w:rsidRPr="001800EB">
              <w:t>procedures and processes</w:t>
            </w:r>
          </w:p>
          <w:p w:rsidR="00000000" w:rsidRPr="001800EB" w:rsidP="001800EB">
            <w:pPr>
              <w:pStyle w:val="ListBullet2"/>
            </w:pPr>
            <w:r w:rsidRPr="001800EB">
              <w:t>targets, such as:</w:t>
            </w:r>
          </w:p>
          <w:p w:rsidR="00000000" w:rsidRPr="001800EB" w:rsidP="001800EB">
            <w:pPr>
              <w:pStyle w:val="ListBullet3"/>
            </w:pPr>
            <w:r w:rsidRPr="001800EB">
              <w:t>carbon emissions reduction</w:t>
            </w:r>
          </w:p>
          <w:p w:rsidR="00000000" w:rsidRPr="001800EB" w:rsidP="001800EB">
            <w:pPr>
              <w:pStyle w:val="ListBullet3"/>
            </w:pPr>
            <w:r w:rsidRPr="001800EB">
              <w:t>cleaner production</w:t>
            </w:r>
          </w:p>
          <w:p w:rsidR="00000000" w:rsidRPr="001800EB" w:rsidP="001800EB">
            <w:pPr>
              <w:pStyle w:val="ListBullet3"/>
            </w:pPr>
            <w:r w:rsidRPr="001800EB">
              <w:t>lean management</w:t>
            </w:r>
          </w:p>
          <w:p w:rsidR="00000000" w:rsidRPr="001800EB" w:rsidP="001800EB">
            <w:pPr>
              <w:pStyle w:val="ListBullet"/>
            </w:pPr>
            <w:r w:rsidRPr="001800EB">
              <w:t>sustainability management principles, practices, tools and techniques relevant to the transport and logistics industry context, such as:</w:t>
            </w:r>
          </w:p>
          <w:p w:rsidR="00000000" w:rsidRPr="001800EB" w:rsidP="001800EB">
            <w:pPr>
              <w:pStyle w:val="ListBullet2"/>
            </w:pPr>
            <w:r w:rsidRPr="001800EB">
              <w:t>the correct use of equipment and vehicles according to environmental protection regulations and guidelines</w:t>
            </w:r>
          </w:p>
          <w:p w:rsidR="00000000" w:rsidRPr="001800EB" w:rsidP="001800EB">
            <w:pPr>
              <w:pStyle w:val="ListBullet2"/>
            </w:pPr>
            <w:r w:rsidRPr="001800EB">
              <w:t>techniques for minimising fuel/materials consumption</w:t>
            </w:r>
          </w:p>
          <w:p w:rsidR="00000000" w:rsidRPr="001800EB" w:rsidP="001800EB">
            <w:pPr>
              <w:pStyle w:val="ListBullet"/>
            </w:pPr>
            <w:r w:rsidRPr="001800EB">
              <w:t>service requirements for transport and logistics, including:</w:t>
            </w:r>
          </w:p>
          <w:p w:rsidR="00000000" w:rsidRPr="001800EB" w:rsidP="001800EB">
            <w:pPr>
              <w:pStyle w:val="ListBullet2"/>
            </w:pPr>
            <w:r w:rsidRPr="001800EB">
              <w:t>selecting, operating, cleaning and maintaining equipment</w:t>
            </w:r>
          </w:p>
          <w:p w:rsidR="00000000" w:rsidRPr="001800EB" w:rsidP="001800EB">
            <w:pPr>
              <w:pStyle w:val="ListBullet2"/>
            </w:pPr>
            <w:r w:rsidRPr="001800EB">
              <w:t>company requirements and structure</w:t>
            </w:r>
          </w:p>
          <w:p w:rsidR="00000000" w:rsidRPr="001800EB" w:rsidP="001800EB">
            <w:pPr>
              <w:pStyle w:val="ListBullet2"/>
            </w:pPr>
            <w:r w:rsidRPr="001800EB">
              <w:t>duty of care</w:t>
            </w:r>
          </w:p>
          <w:p w:rsidR="00000000" w:rsidRPr="001800EB" w:rsidP="001800EB">
            <w:pPr>
              <w:pStyle w:val="ListBullet2"/>
            </w:pPr>
            <w:r w:rsidRPr="001800EB">
              <w:t xml:space="preserve">legislation, regulations and codes </w:t>
            </w:r>
            <w:r w:rsidRPr="001800EB">
              <w:t>of practice applicable to specific transport and logistics functions</w:t>
            </w:r>
          </w:p>
          <w:p w:rsidR="00000000" w:rsidRPr="001800EB" w:rsidP="001800EB">
            <w:pPr>
              <w:pStyle w:val="ListBullet2"/>
            </w:pPr>
            <w:r w:rsidRPr="001800EB">
              <w:t>relevant enterprise policies, procedures and protocols</w:t>
            </w:r>
          </w:p>
          <w:p w:rsidR="00000000" w:rsidRPr="001800EB" w:rsidP="001800EB">
            <w:pPr>
              <w:pStyle w:val="ListBullet2"/>
            </w:pPr>
            <w:r w:rsidRPr="001800EB">
              <w:t>relevant competency</w:t>
            </w:r>
          </w:p>
          <w:p w:rsidR="00000000" w:rsidRPr="001800EB" w:rsidP="001800EB">
            <w:pPr>
              <w:pStyle w:val="ListBullet2"/>
            </w:pPr>
            <w:r w:rsidRPr="001800EB">
              <w:t>resource efficiency processes</w:t>
            </w:r>
          </w:p>
          <w:p w:rsidR="00000000" w:rsidRPr="001800EB" w:rsidP="001800EB">
            <w:pPr>
              <w:pStyle w:val="ListBullet2"/>
            </w:pPr>
            <w:r w:rsidRPr="001800EB">
              <w:t>stakeholder identification</w:t>
            </w:r>
          </w:p>
          <w:p w:rsidR="00000000" w:rsidRPr="001800EB" w:rsidP="001800EB">
            <w:pPr>
              <w:pStyle w:val="ListBullet2"/>
            </w:pPr>
            <w:r w:rsidRPr="001800EB">
              <w:t>supply chain procedures</w:t>
            </w:r>
          </w:p>
          <w:p w:rsidR="00000000" w:rsidRPr="001800EB" w:rsidP="001800EB">
            <w:pPr>
              <w:pStyle w:val="ListBullet2"/>
            </w:pPr>
            <w:r w:rsidRPr="001800EB">
              <w:t>transport and logistics environ</w:t>
            </w:r>
            <w:r w:rsidRPr="001800EB">
              <w:t>mental options and best practices</w:t>
            </w:r>
          </w:p>
          <w:p w:rsidR="00000000" w:rsidRPr="001800EB" w:rsidP="001800EB">
            <w:pPr>
              <w:pStyle w:val="ListBullet"/>
            </w:pPr>
            <w:r w:rsidRPr="001800EB">
              <w:t>work health and safety (WHS)/occupational health and safety (OHS) requirements relating to:</w:t>
            </w:r>
          </w:p>
          <w:p w:rsidR="00000000" w:rsidRPr="001800EB" w:rsidP="001800EB">
            <w:pPr>
              <w:pStyle w:val="ListBullet2"/>
            </w:pPr>
            <w:r w:rsidRPr="001800EB">
              <w:t>dangerous goods and hazardous substances</w:t>
            </w:r>
          </w:p>
          <w:p w:rsidR="00000000" w:rsidRPr="001800EB" w:rsidP="001800EB">
            <w:pPr>
              <w:pStyle w:val="ListBullet2"/>
            </w:pPr>
            <w:r w:rsidRPr="001800EB">
              <w:t>WHS/OHS hierarchy of control.</w:t>
            </w:r>
          </w:p>
        </w:tc>
      </w:tr>
    </w:tbl>
    <w:p w:rsidR="00000000" w:rsidRPr="001800EB" w:rsidP="001800EB">
      <w:pPr>
        <w:pStyle w:val="NoPaddingFontSize1"/>
      </w:pPr>
    </w:p>
    <w:p w:rsidR="00000000" w:rsidRPr="001800EB" w:rsidP="001800EB">
      <w:pPr>
        <w:pStyle w:val="AllowPageBreak"/>
      </w:pPr>
    </w:p>
    <w:p w:rsidR="00000000" w:rsidRPr="001800EB" w:rsidP="001800EB">
      <w:pPr>
        <w:pStyle w:val="Heading1"/>
      </w:pPr>
      <w:bookmarkStart w:id="14" w:name="O_1091671"/>
      <w:bookmarkEnd w:id="14"/>
      <w:r w:rsidRPr="001800E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EB" w:rsidP="001800EB">
            <w:pPr>
              <w:pStyle w:val="BodyText"/>
            </w:pPr>
            <w:r w:rsidRPr="001800EB">
              <w:t xml:space="preserve">Assessors must hold credentials specified within the Standards for Registered Training Organisations current at the time of assessment. </w:t>
            </w:r>
          </w:p>
          <w:p w:rsidR="00000000" w:rsidRPr="001800EB" w:rsidP="001800EB">
            <w:pPr>
              <w:pStyle w:val="BodyText"/>
            </w:pPr>
            <w:r w:rsidRPr="001800EB">
              <w:t>Assessment must satisfy the Principles of Assessment and Rules of Evidence and all regulatory requirements included wit</w:t>
            </w:r>
            <w:r w:rsidRPr="001800EB">
              <w:t>hin the Standards for Registered Training Organisations current at the time of assessment.</w:t>
            </w:r>
          </w:p>
          <w:p w:rsidR="00000000" w:rsidRPr="001800EB" w:rsidP="001800EB">
            <w:pPr>
              <w:pStyle w:val="BodyText"/>
            </w:pPr>
            <w:r w:rsidRPr="001800EB">
              <w:t>Assessment must occur in workplace operational situations where it is appropriate to do so; where this is not appropriate, assessment must occur in simulated workpla</w:t>
            </w:r>
            <w:r w:rsidRPr="001800EB">
              <w:t>ce operational situations that replicate workplace conditions.</w:t>
            </w:r>
          </w:p>
          <w:p w:rsidR="00000000" w:rsidRPr="001800EB" w:rsidP="001800EB">
            <w:pPr>
              <w:pStyle w:val="BodyText"/>
            </w:pPr>
            <w:r w:rsidRPr="001800E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800EB" w:rsidP="001800EB">
            <w:pPr>
              <w:pStyle w:val="BodyText"/>
            </w:pPr>
            <w:r w:rsidRPr="001800EB">
              <w:t xml:space="preserve">Resources for assessment </w:t>
            </w:r>
            <w:r w:rsidRPr="001800EB">
              <w:t>must include:</w:t>
            </w:r>
          </w:p>
          <w:p w:rsidR="00000000" w:rsidRPr="001800EB" w:rsidP="001800EB">
            <w:pPr>
              <w:pStyle w:val="ListBullet"/>
            </w:pPr>
            <w:r w:rsidRPr="001800EB">
              <w:t>a range of relevant exercises, case studies and/or other simulations</w:t>
            </w:r>
          </w:p>
          <w:p w:rsidR="00000000" w:rsidRPr="001800EB" w:rsidP="001800EB">
            <w:pPr>
              <w:pStyle w:val="ListBullet"/>
            </w:pPr>
            <w:r w:rsidRPr="001800EB">
              <w:t>relevant and appropriate materials, tools, equipment and personal protective equipment (PPE) currently used in industry</w:t>
            </w:r>
          </w:p>
          <w:p w:rsidR="00000000" w:rsidRPr="001800EB" w:rsidP="001800EB">
            <w:pPr>
              <w:pStyle w:val="ListBullet"/>
            </w:pPr>
            <w:r w:rsidRPr="001800EB">
              <w:t>applicable documentation, including workplace proced</w:t>
            </w:r>
            <w:r w:rsidRPr="001800EB">
              <w:t>ures, regulations, codes of practice and operation manuals.</w:t>
            </w:r>
          </w:p>
        </w:tc>
      </w:tr>
    </w:tbl>
    <w:p w:rsidR="00000000" w:rsidRPr="001800EB" w:rsidP="001800EB">
      <w:pPr>
        <w:pStyle w:val="NoPaddingFontSize1"/>
      </w:pPr>
    </w:p>
    <w:p w:rsidR="00000000" w:rsidRPr="001800EB" w:rsidP="001800EB">
      <w:pPr>
        <w:pStyle w:val="AllowPageBreak"/>
      </w:pPr>
    </w:p>
    <w:p w:rsidR="00000000" w:rsidRPr="001800EB" w:rsidP="001800EB">
      <w:pPr>
        <w:pStyle w:val="Heading1"/>
      </w:pPr>
      <w:bookmarkStart w:id="15" w:name="O_1091686"/>
      <w:bookmarkEnd w:id="15"/>
      <w:r w:rsidRPr="001800EB">
        <w:t>Links</w:t>
      </w:r>
    </w:p>
    <w:p w:rsidR="00000000" w:rsidRPr="001800EB" w:rsidP="00E9398C">
      <w:pPr>
        <w:pStyle w:val="BodyText"/>
      </w:pPr>
      <w:r w:rsidRPr="001800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B17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00EB" w:rsidP="001800EB"/>
    <w:sectPr w:rsidSect="001800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EB" w:rsidRPr="00E9398C" w:rsidP="00E939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8C" w:rsidP="00180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398C" w:rsidP="00180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9398C" w:rsidP="001800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EB" w:rsidP="00180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398C">
      <w:t>Approved</w:t>
    </w:r>
    <w:r w:rsidR="00E939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39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398C">
      <w:rPr>
        <w:noProof/>
      </w:rPr>
      <w:t>4</w:t>
    </w:r>
    <w:r>
      <w:rPr>
        <w:noProof/>
      </w:rPr>
      <w:fldChar w:fldCharType="end"/>
    </w:r>
  </w:p>
  <w:p w:rsidR="001800EB" w:rsidP="00180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39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398C">
      <w:t>Industry Skills Australia</w:t>
    </w:r>
    <w:r w:rsidR="00E9398C">
      <w:fldChar w:fldCharType="end"/>
    </w:r>
  </w:p>
  <w:p w:rsidR="001800EB" w:rsidP="00180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0EB" w:rsidRPr="00E9398C" w:rsidP="00E939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8C" w:rsidRPr="002D2AF8" w:rsidP="00180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TLIU2012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398C" w:rsidP="001800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EB" w:rsidRPr="002D2AF8" w:rsidP="00180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398C">
      <w:t>TLIU2012 Participate in environmentally sustainable work practices</w:t>
    </w:r>
    <w:r w:rsidR="00E939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398C">
      <w:rPr>
        <w:noProof/>
      </w:rPr>
      <w:t>2 March 2025</w:t>
    </w:r>
    <w:r>
      <w:fldChar w:fldCharType="end"/>
    </w:r>
  </w:p>
  <w:p w:rsidR="001800EB" w:rsidP="00180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940E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C83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44EA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0EB"/>
  </w:style>
  <w:style w:type="character" w:customStyle="1" w:styleId="Heading1Char">
    <w:name w:val="Heading 1 Char"/>
    <w:basedOn w:val="DefaultParagraphFont"/>
    <w:link w:val="Heading1"/>
    <w:rsid w:val="00180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0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0E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0EB"/>
    <w:rPr>
      <w:b/>
      <w:spacing w:val="0"/>
    </w:rPr>
  </w:style>
  <w:style w:type="paragraph" w:styleId="ListBullet2">
    <w:name w:val="List Bullet 2"/>
    <w:basedOn w:val="List2"/>
    <w:rsid w:val="001800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0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00E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0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0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0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0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0EB"/>
    <w:rPr>
      <w:i/>
    </w:rPr>
  </w:style>
  <w:style w:type="paragraph" w:styleId="Caption">
    <w:name w:val="caption"/>
    <w:basedOn w:val="BodyText"/>
    <w:next w:val="Normal"/>
    <w:qFormat/>
    <w:rsid w:val="00180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0EB"/>
  </w:style>
  <w:style w:type="paragraph" w:styleId="TableofFigures">
    <w:name w:val="table of figures"/>
    <w:basedOn w:val="Normal"/>
    <w:next w:val="Normal"/>
    <w:semiHidden/>
    <w:rsid w:val="00180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0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00EB"/>
    <w:rPr>
      <w:rFonts w:ascii="Wingdings" w:hAnsi="Wingdings"/>
    </w:rPr>
  </w:style>
  <w:style w:type="paragraph" w:customStyle="1" w:styleId="TableHeading">
    <w:name w:val="Table Heading"/>
    <w:basedOn w:val="HeadingBase"/>
    <w:rsid w:val="00180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0EB"/>
    <w:rPr>
      <w:color w:val="0033CC"/>
      <w:u w:val="none"/>
    </w:rPr>
  </w:style>
  <w:style w:type="paragraph" w:customStyle="1" w:styleId="BodyTextRight">
    <w:name w:val="Body Text Right"/>
    <w:basedOn w:val="BodyText"/>
    <w:rsid w:val="00180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0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0EB"/>
    <w:rPr>
      <w:sz w:val="32"/>
    </w:rPr>
  </w:style>
  <w:style w:type="paragraph" w:customStyle="1" w:styleId="HeadingProcedure">
    <w:name w:val="Heading Procedure"/>
    <w:basedOn w:val="HeadingBase"/>
    <w:next w:val="Normal"/>
    <w:rsid w:val="00180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0EB"/>
    <w:pPr>
      <w:spacing w:before="60" w:after="60"/>
    </w:pPr>
  </w:style>
  <w:style w:type="paragraph" w:styleId="ListContinue">
    <w:name w:val="List Continue"/>
    <w:basedOn w:val="List"/>
    <w:rsid w:val="001800EB"/>
    <w:pPr>
      <w:ind w:firstLine="0"/>
    </w:pPr>
  </w:style>
  <w:style w:type="paragraph" w:customStyle="1" w:styleId="ListNote">
    <w:name w:val="List Note"/>
    <w:basedOn w:val="List"/>
    <w:rsid w:val="00180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0EB"/>
    <w:rPr>
      <w:rFonts w:ascii="Courier New" w:hAnsi="Courier New"/>
    </w:rPr>
  </w:style>
  <w:style w:type="paragraph" w:customStyle="1" w:styleId="NoteBullet">
    <w:name w:val="Note Bullet"/>
    <w:basedOn w:val="Note"/>
    <w:rsid w:val="00180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0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0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0EB"/>
    <w:rPr>
      <w:b/>
      <w:smallCaps/>
    </w:rPr>
  </w:style>
  <w:style w:type="paragraph" w:customStyle="1" w:styleId="TableListNumber">
    <w:name w:val="Table List Number"/>
    <w:basedOn w:val="ListNumber"/>
    <w:rsid w:val="00180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0EB"/>
    <w:pPr>
      <w:numPr>
        <w:numId w:val="10"/>
      </w:numPr>
    </w:pPr>
  </w:style>
  <w:style w:type="paragraph" w:customStyle="1" w:styleId="ListAlpha2">
    <w:name w:val="List Alpha 2"/>
    <w:basedOn w:val="List2"/>
    <w:rsid w:val="001800EB"/>
    <w:pPr>
      <w:numPr>
        <w:numId w:val="9"/>
      </w:numPr>
    </w:pPr>
  </w:style>
  <w:style w:type="paragraph" w:styleId="List2">
    <w:name w:val="List 2"/>
    <w:basedOn w:val="BodyText"/>
    <w:rsid w:val="00180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0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00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00EB"/>
    <w:pPr>
      <w:numPr>
        <w:numId w:val="5"/>
      </w:numPr>
    </w:pPr>
  </w:style>
  <w:style w:type="paragraph" w:styleId="ListContinue2">
    <w:name w:val="List Continue 2"/>
    <w:basedOn w:val="List2"/>
    <w:rsid w:val="001800EB"/>
    <w:pPr>
      <w:ind w:firstLine="0"/>
    </w:pPr>
  </w:style>
  <w:style w:type="paragraph" w:styleId="ListContinue3">
    <w:name w:val="List Continue 3"/>
    <w:basedOn w:val="List3"/>
    <w:rsid w:val="001800EB"/>
    <w:pPr>
      <w:ind w:left="1021" w:firstLine="0"/>
    </w:pPr>
  </w:style>
  <w:style w:type="paragraph" w:styleId="ListContinue4">
    <w:name w:val="List Continue 4"/>
    <w:basedOn w:val="List4"/>
    <w:rsid w:val="001800EB"/>
    <w:pPr>
      <w:ind w:firstLine="0"/>
    </w:pPr>
  </w:style>
  <w:style w:type="paragraph" w:styleId="ListContinue5">
    <w:name w:val="List Continue 5"/>
    <w:basedOn w:val="List5"/>
    <w:rsid w:val="001800EB"/>
    <w:pPr>
      <w:ind w:firstLine="0"/>
    </w:pPr>
  </w:style>
  <w:style w:type="paragraph" w:styleId="ListNumber3">
    <w:name w:val="List Number 3"/>
    <w:basedOn w:val="List3"/>
    <w:rsid w:val="001800EB"/>
    <w:pPr>
      <w:numPr>
        <w:numId w:val="6"/>
      </w:numPr>
    </w:pPr>
  </w:style>
  <w:style w:type="paragraph" w:styleId="ListNumber4">
    <w:name w:val="List Number 4"/>
    <w:basedOn w:val="List4"/>
    <w:rsid w:val="001800EB"/>
    <w:pPr>
      <w:numPr>
        <w:numId w:val="7"/>
      </w:numPr>
    </w:pPr>
  </w:style>
  <w:style w:type="paragraph" w:styleId="ListNumber5">
    <w:name w:val="List Number 5"/>
    <w:basedOn w:val="List5"/>
    <w:rsid w:val="001800EB"/>
    <w:pPr>
      <w:numPr>
        <w:numId w:val="8"/>
      </w:numPr>
    </w:pPr>
  </w:style>
  <w:style w:type="paragraph" w:styleId="BlockText">
    <w:name w:val="Block Text"/>
    <w:basedOn w:val="Normal"/>
    <w:rsid w:val="00180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0EB"/>
    <w:rPr>
      <w:sz w:val="16"/>
      <w:vertAlign w:val="superscript"/>
    </w:rPr>
  </w:style>
  <w:style w:type="character" w:customStyle="1" w:styleId="Symbols">
    <w:name w:val="Symbols"/>
    <w:basedOn w:val="DefaultParagraphFont"/>
    <w:rsid w:val="001800EB"/>
    <w:rPr>
      <w:rFonts w:ascii="Symbol" w:hAnsi="Symbol"/>
    </w:rPr>
  </w:style>
  <w:style w:type="character" w:customStyle="1" w:styleId="MenuOptions">
    <w:name w:val="Menu Options"/>
    <w:basedOn w:val="DefaultParagraphFont"/>
    <w:rsid w:val="00180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0EB"/>
    <w:rPr>
      <w:b/>
    </w:rPr>
  </w:style>
  <w:style w:type="character" w:customStyle="1" w:styleId="Underlined">
    <w:name w:val="Underlined"/>
    <w:basedOn w:val="DefaultParagraphFont"/>
    <w:rsid w:val="001800EB"/>
    <w:rPr>
      <w:u w:val="single"/>
    </w:rPr>
  </w:style>
  <w:style w:type="paragraph" w:customStyle="1" w:styleId="TableBodyTextRight">
    <w:name w:val="Table Body Text Right"/>
    <w:basedOn w:val="TableBodyText"/>
    <w:rsid w:val="00180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0EB"/>
    <w:rPr>
      <w:sz w:val="18"/>
    </w:rPr>
  </w:style>
  <w:style w:type="paragraph" w:customStyle="1" w:styleId="BodySmallRight">
    <w:name w:val="Body Small Right"/>
    <w:basedOn w:val="BodyTextRight"/>
    <w:rsid w:val="001800EB"/>
    <w:rPr>
      <w:sz w:val="18"/>
      <w:szCs w:val="18"/>
    </w:rPr>
  </w:style>
  <w:style w:type="paragraph" w:customStyle="1" w:styleId="MarginEdition">
    <w:name w:val="Margin Edition"/>
    <w:basedOn w:val="MarginNote"/>
    <w:rsid w:val="00180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0EB"/>
    <w:rPr>
      <w:sz w:val="2"/>
      <w:szCs w:val="2"/>
    </w:rPr>
  </w:style>
  <w:style w:type="character" w:customStyle="1" w:styleId="Small">
    <w:name w:val="Small"/>
    <w:basedOn w:val="DefaultParagraphFont"/>
    <w:rsid w:val="001800EB"/>
    <w:rPr>
      <w:sz w:val="16"/>
    </w:rPr>
  </w:style>
  <w:style w:type="paragraph" w:customStyle="1" w:styleId="WideTable">
    <w:name w:val="Wide Table"/>
    <w:basedOn w:val="Normal"/>
    <w:rsid w:val="00180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0EB"/>
  </w:style>
  <w:style w:type="paragraph" w:styleId="Quote">
    <w:name w:val="Quote"/>
    <w:basedOn w:val="Heading1"/>
    <w:link w:val="QuoteChar"/>
    <w:qFormat/>
    <w:rsid w:val="00180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0EB"/>
    <w:pPr>
      <w:pageBreakBefore/>
    </w:pPr>
  </w:style>
  <w:style w:type="paragraph" w:customStyle="1" w:styleId="Border">
    <w:name w:val="Border"/>
    <w:basedOn w:val="Normal"/>
    <w:qFormat/>
    <w:rsid w:val="00180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0EB"/>
    <w:rPr>
      <w:u w:val="single"/>
    </w:rPr>
  </w:style>
  <w:style w:type="character" w:customStyle="1" w:styleId="BoldandItalics">
    <w:name w:val="Bold and Italics"/>
    <w:qFormat/>
    <w:rsid w:val="001800EB"/>
    <w:rPr>
      <w:b/>
      <w:i/>
      <w:u w:val="none"/>
    </w:rPr>
  </w:style>
  <w:style w:type="paragraph" w:styleId="BalloonText">
    <w:name w:val="Balloon Text"/>
    <w:basedOn w:val="Normal"/>
    <w:link w:val="BalloonTextChar"/>
    <w:rsid w:val="00180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0EB"/>
    <w:pPr>
      <w:spacing w:before="0" w:after="0"/>
    </w:pPr>
  </w:style>
  <w:style w:type="paragraph" w:customStyle="1" w:styleId="BodyTextBold">
    <w:name w:val="Body Text Bold"/>
    <w:basedOn w:val="BodyText"/>
    <w:qFormat/>
    <w:rsid w:val="001800EB"/>
    <w:rPr>
      <w:b/>
    </w:rPr>
  </w:style>
  <w:style w:type="character" w:styleId="Hyperlink">
    <w:name w:val="Hyperlink"/>
    <w:basedOn w:val="DefaultParagraphFont"/>
    <w:uiPriority w:val="99"/>
    <w:unhideWhenUsed/>
    <w:rsid w:val="00E939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6150</Characters>
  <Application>Microsoft Office Word</Application>
  <DocSecurity>0</DocSecurity>
  <Lines>212</Lines>
  <Paragraphs>133</Paragraphs>
  <ScaleCrop>false</ScaleCrop>
  <Company>Author-it Software Corporation Ltd.</Company>
  <LinksUpToDate>false</LinksUpToDate>
  <CharactersWithSpaces>6923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TLIU2012 Participate in environmentally sustainable work practices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2025-03-01T20:56:00Z</dcterms:created>
  <dcterms:modified xsi:type="dcterms:W3CDTF">2025-03-01T20:56:00Z</dcterms:modified>
</cp:coreProperties>
</file>