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9CB" w:rsidP="001069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TLIU2008 Apply environmental procedures to rail infrastructure</w:t>
      </w:r>
      <w:r>
        <w:fldChar w:fldCharType="end"/>
      </w:r>
    </w:p>
    <w:p w:rsidR="001069CB" w:rsidP="001069CB">
      <w:pPr>
        <w:pStyle w:val="Version"/>
        <w:sectPr w:rsidSect="00111D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1D4C" w:rsidP="00111D4C">
      <w:pPr>
        <w:pStyle w:val="SuperHeading"/>
      </w:pPr>
      <w:r w:rsidRPr="00111D4C">
        <w:t>Assessment Requirements for TLIU2008 Apply environmental procedures to rail infrastructure</w:t>
      </w:r>
    </w:p>
    <w:p w:rsidR="00000000" w:rsidRPr="00111D4C" w:rsidP="00111D4C">
      <w:pPr>
        <w:pStyle w:val="Heading1"/>
      </w:pPr>
      <w:bookmarkStart w:id="1" w:name="O_1120833"/>
      <w:bookmarkEnd w:id="1"/>
      <w:r w:rsidRPr="00111D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4C" w:rsidP="00111D4C">
            <w:pPr>
              <w:pStyle w:val="BodyText"/>
            </w:pPr>
            <w:r w:rsidRPr="00111D4C">
              <w:rPr>
                <w:rStyle w:val="SpecialBold"/>
              </w:rPr>
              <w:t>Release 2</w:t>
            </w:r>
            <w:r w:rsidRPr="00111D4C">
              <w:t>. This is the second release of this unit of competency in the TLI Transport and Logistics Training Package:</w:t>
            </w:r>
          </w:p>
          <w:p w:rsidR="00000000" w:rsidP="00111D4C">
            <w:pPr>
              <w:pStyle w:val="ListBullet"/>
              <w:rPr>
                <w:lang w:val="en-NZ"/>
              </w:rPr>
            </w:pPr>
            <w:r w:rsidRPr="00111D4C">
              <w:t>Minor statement changes in Assessment Conditions.</w:t>
            </w:r>
          </w:p>
        </w:tc>
      </w:tr>
      <w:tr w:rsidTr="00111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4C" w:rsidP="00111D4C">
            <w:pPr>
              <w:pStyle w:val="BodyText"/>
            </w:pPr>
            <w:r w:rsidRPr="00111D4C">
              <w:rPr>
                <w:rStyle w:val="SpecialBold"/>
              </w:rPr>
              <w:t>Release 1</w:t>
            </w:r>
            <w:r w:rsidRPr="00111D4C">
              <w:t>. This is the first release of this unit of competency in the TLI Transport and Logistics Training Package.</w:t>
            </w:r>
          </w:p>
        </w:tc>
      </w:tr>
    </w:tbl>
    <w:p w:rsidR="00000000" w:rsidRPr="00111D4C" w:rsidP="00111D4C">
      <w:pPr>
        <w:pStyle w:val="NoPaddingFontSize1"/>
      </w:pPr>
    </w:p>
    <w:p w:rsidR="00000000" w:rsidRPr="00111D4C" w:rsidP="00111D4C">
      <w:pPr>
        <w:pStyle w:val="AllowPageBreak"/>
      </w:pPr>
    </w:p>
    <w:p w:rsidR="00000000" w:rsidRPr="00111D4C" w:rsidP="00111D4C">
      <w:pPr>
        <w:pStyle w:val="Heading1"/>
      </w:pPr>
      <w:bookmarkStart w:id="2" w:name="O_1120832"/>
      <w:bookmarkEnd w:id="2"/>
      <w:r w:rsidRPr="00111D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4C" w:rsidP="00111D4C">
            <w:pPr>
              <w:pStyle w:val="BodyText"/>
            </w:pPr>
            <w:r w:rsidRPr="00111D4C">
              <w:t>Evidence required to demonstrate competence in</w:t>
            </w:r>
            <w:r w:rsidRPr="00111D4C">
              <w:t xml:space="preserve"> this unit must be relevant to and satisfy all of the requirements of the elements and performance criteria on at least one occasion and include:</w:t>
            </w:r>
          </w:p>
          <w:p w:rsidR="00000000" w:rsidRPr="00111D4C" w:rsidP="00111D4C">
            <w:pPr>
              <w:pStyle w:val="ListBullet"/>
            </w:pPr>
            <w:r w:rsidRPr="00111D4C">
              <w:t>adapting to differences in equipment and operating environment in accordance with operating procedures</w:t>
            </w:r>
          </w:p>
          <w:p w:rsidR="00000000" w:rsidRPr="00111D4C" w:rsidP="00111D4C">
            <w:pPr>
              <w:pStyle w:val="ListBullet"/>
            </w:pPr>
            <w:r w:rsidRPr="00111D4C">
              <w:t>applyi</w:t>
            </w:r>
            <w:r w:rsidRPr="00111D4C">
              <w:t>ng relevant workplace procedures</w:t>
            </w:r>
          </w:p>
          <w:p w:rsidR="00000000" w:rsidRPr="00111D4C" w:rsidP="00111D4C">
            <w:pPr>
              <w:pStyle w:val="ListBullet"/>
            </w:pPr>
            <w:r w:rsidRPr="00111D4C">
              <w:t>disposing of waste and effluent in accordance with regulations and workplace procedures</w:t>
            </w:r>
          </w:p>
          <w:p w:rsidR="00000000" w:rsidRPr="00111D4C" w:rsidP="00111D4C">
            <w:pPr>
              <w:pStyle w:val="ListBullet"/>
            </w:pPr>
            <w:r w:rsidRPr="00111D4C">
              <w:t>following relevant workplace procedures, safety data sheets (SDS)/material safety data sheets (MSDS) and regulatory requirements for ha</w:t>
            </w:r>
            <w:r w:rsidRPr="00111D4C">
              <w:t>ndling and moving pollutants</w:t>
            </w:r>
          </w:p>
          <w:p w:rsidR="00000000" w:rsidRPr="00111D4C" w:rsidP="00111D4C">
            <w:pPr>
              <w:pStyle w:val="ListBullet"/>
            </w:pPr>
            <w:r w:rsidRPr="00111D4C">
              <w:t>following routine service and maintenance procedures for equipment and vehicles</w:t>
            </w:r>
          </w:p>
          <w:p w:rsidR="00000000" w:rsidRPr="00111D4C" w:rsidP="00111D4C">
            <w:pPr>
              <w:pStyle w:val="ListBullet"/>
            </w:pPr>
            <w:r w:rsidRPr="00111D4C">
              <w:t>identifying and correctly using equipment and vehicles in accordance with environmental protection regulations and guidelines</w:t>
            </w:r>
          </w:p>
          <w:p w:rsidR="00000000" w:rsidRPr="00111D4C" w:rsidP="00111D4C">
            <w:pPr>
              <w:pStyle w:val="ListBullet"/>
            </w:pPr>
            <w:r w:rsidRPr="00111D4C">
              <w:t>identifying culturally sensitive sites</w:t>
            </w:r>
          </w:p>
          <w:p w:rsidR="00000000" w:rsidRPr="00111D4C" w:rsidP="00111D4C">
            <w:pPr>
              <w:pStyle w:val="ListBullet"/>
            </w:pPr>
            <w:r w:rsidRPr="00111D4C">
              <w:t>identifying job hazards and taking required actions to minimise, control or eliminate identified hazards</w:t>
            </w:r>
          </w:p>
          <w:p w:rsidR="00000000" w:rsidRPr="00111D4C" w:rsidP="00111D4C">
            <w:pPr>
              <w:pStyle w:val="ListBullet"/>
            </w:pPr>
            <w:r w:rsidRPr="00111D4C">
              <w:t>identifying the pollution likely to affect the workplace and the effect on the job role</w:t>
            </w:r>
          </w:p>
          <w:p w:rsidR="00000000" w:rsidRPr="00111D4C" w:rsidP="00111D4C">
            <w:pPr>
              <w:pStyle w:val="ListBullet"/>
            </w:pPr>
            <w:r w:rsidRPr="00111D4C">
              <w:t>implementing contingency</w:t>
            </w:r>
            <w:r w:rsidRPr="00111D4C">
              <w:t xml:space="preserve"> plans</w:t>
            </w:r>
          </w:p>
          <w:p w:rsidR="00000000" w:rsidRPr="00111D4C" w:rsidP="00111D4C">
            <w:pPr>
              <w:pStyle w:val="ListBullet"/>
            </w:pPr>
            <w:r w:rsidRPr="00111D4C">
              <w:t>interpreting and following operational instructions and performing work tasks in required sequence</w:t>
            </w:r>
          </w:p>
          <w:p w:rsidR="00000000" w:rsidRPr="00111D4C" w:rsidP="00111D4C">
            <w:pPr>
              <w:pStyle w:val="ListBullet"/>
            </w:pPr>
            <w:r w:rsidRPr="00111D4C">
              <w:t>minimising the effects of a number of different pollutants during work in a variety of situations</w:t>
            </w:r>
          </w:p>
          <w:p w:rsidR="00000000" w:rsidRPr="00111D4C" w:rsidP="00111D4C">
            <w:pPr>
              <w:pStyle w:val="ListBullet"/>
            </w:pPr>
            <w:r w:rsidRPr="00111D4C">
              <w:t>modifying activities depending on operational contin</w:t>
            </w:r>
            <w:r w:rsidRPr="00111D4C">
              <w:t>gencies, risk situations and environments</w:t>
            </w:r>
          </w:p>
          <w:p w:rsidR="00000000" w:rsidRPr="00111D4C" w:rsidP="00111D4C">
            <w:pPr>
              <w:pStyle w:val="ListBullet"/>
            </w:pPr>
            <w:r w:rsidRPr="00111D4C">
              <w:t>reading and interpreting relevant instructions, procedures and information</w:t>
            </w:r>
          </w:p>
          <w:p w:rsidR="00000000" w:rsidRPr="00111D4C" w:rsidP="00111D4C">
            <w:pPr>
              <w:pStyle w:val="ListBullet"/>
            </w:pPr>
            <w:r w:rsidRPr="00111D4C">
              <w:t>recognising potential pollution risks and ways of minimising them</w:t>
            </w:r>
          </w:p>
          <w:p w:rsidR="00000000" w:rsidRPr="00111D4C" w:rsidP="00111D4C">
            <w:pPr>
              <w:pStyle w:val="ListBullet"/>
            </w:pPr>
            <w:r w:rsidRPr="00111D4C">
              <w:t>reporting and/or rectifying identified problems promptly, in accordance w</w:t>
            </w:r>
            <w:r w:rsidRPr="00111D4C">
              <w:t>ith regulatory requirements and workplace procedures</w:t>
            </w:r>
          </w:p>
          <w:p w:rsidR="00000000" w:rsidRPr="00111D4C" w:rsidP="00111D4C">
            <w:pPr>
              <w:pStyle w:val="ListBullet"/>
            </w:pPr>
            <w:r w:rsidRPr="00111D4C">
              <w:t>undertaking precautions to prevent polluting the environment within the workplace.</w:t>
            </w:r>
          </w:p>
        </w:tc>
      </w:tr>
    </w:tbl>
    <w:p w:rsidR="00000000" w:rsidRPr="00111D4C" w:rsidP="00111D4C">
      <w:pPr>
        <w:pStyle w:val="NoPaddingFontSize1"/>
      </w:pPr>
    </w:p>
    <w:p w:rsidR="00000000" w:rsidRPr="00111D4C" w:rsidP="00111D4C">
      <w:pPr>
        <w:pStyle w:val="AllowPageBreak"/>
      </w:pPr>
    </w:p>
    <w:p w:rsidR="00000000" w:rsidRPr="00111D4C" w:rsidP="00111D4C">
      <w:pPr>
        <w:pStyle w:val="Heading1"/>
      </w:pPr>
      <w:bookmarkStart w:id="3" w:name="O_1120831"/>
      <w:bookmarkEnd w:id="3"/>
      <w:r w:rsidRPr="00111D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4C" w:rsidP="00111D4C">
            <w:pPr>
              <w:pStyle w:val="BodyText"/>
            </w:pPr>
            <w:r w:rsidRPr="00111D4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111D4C" w:rsidP="00111D4C">
            <w:pPr>
              <w:pStyle w:val="ListBullet"/>
            </w:pPr>
            <w:r w:rsidRPr="00111D4C">
              <w:t>application of relevant environmental protection regulations and requiremen</w:t>
            </w:r>
            <w:r w:rsidRPr="00111D4C">
              <w:t>ts including site-specific licence and trade waste requirements</w:t>
            </w:r>
          </w:p>
          <w:p w:rsidR="00000000" w:rsidRPr="00111D4C" w:rsidP="00111D4C">
            <w:pPr>
              <w:pStyle w:val="ListBullet"/>
            </w:pPr>
            <w:r w:rsidRPr="00111D4C">
              <w:t>emission control checking requirements for vehicles and relevant equipment</w:t>
            </w:r>
          </w:p>
          <w:p w:rsidR="00000000" w:rsidRPr="00111D4C" w:rsidP="00111D4C">
            <w:pPr>
              <w:pStyle w:val="ListBullet"/>
            </w:pPr>
            <w:r w:rsidRPr="00111D4C">
              <w:t>environmental hazards and toxicity of materials typically carried in loads</w:t>
            </w:r>
          </w:p>
          <w:p w:rsidR="00000000" w:rsidRPr="00111D4C" w:rsidP="00111D4C">
            <w:pPr>
              <w:pStyle w:val="ListBullet"/>
            </w:pPr>
            <w:r w:rsidRPr="00111D4C">
              <w:t>environmental protection standards require</w:t>
            </w:r>
            <w:r w:rsidRPr="00111D4C">
              <w:t>d when undertaking rail infrastructure maintenance and construction activities</w:t>
            </w:r>
          </w:p>
          <w:p w:rsidR="00000000" w:rsidRPr="00111D4C" w:rsidP="00111D4C">
            <w:pPr>
              <w:pStyle w:val="ListBullet"/>
            </w:pPr>
            <w:r w:rsidRPr="00111D4C">
              <w:t>environmental risks when undertaking rail infrastructure maintenance and construction activities and related precautions to control the risk</w:t>
            </w:r>
          </w:p>
          <w:p w:rsidR="00000000" w:rsidRPr="00111D4C" w:rsidP="00111D4C">
            <w:pPr>
              <w:pStyle w:val="ListBullet"/>
            </w:pPr>
            <w:r w:rsidRPr="00111D4C">
              <w:t>physical environment in which rail s</w:t>
            </w:r>
            <w:r w:rsidRPr="00111D4C">
              <w:t>afety work is to be carried out, including climatic conditions, noise, vibration and fumes</w:t>
            </w:r>
          </w:p>
          <w:p w:rsidR="00000000" w:rsidRPr="00111D4C" w:rsidP="00111D4C">
            <w:pPr>
              <w:pStyle w:val="ListBullet"/>
            </w:pPr>
            <w:r w:rsidRPr="00111D4C">
              <w:t>procedures and processes for waste and effluent regulation</w:t>
            </w:r>
          </w:p>
          <w:p w:rsidR="00000000" w:rsidRPr="00111D4C" w:rsidP="00111D4C">
            <w:pPr>
              <w:pStyle w:val="ListBullet"/>
            </w:pPr>
            <w:r w:rsidRPr="00111D4C">
              <w:t xml:space="preserve">relevant rail safety, work health and safety (WHS)/occupational health and safety (OHS) and environmental </w:t>
            </w:r>
            <w:r w:rsidRPr="00111D4C">
              <w:t>protection regulations</w:t>
            </w:r>
          </w:p>
          <w:p w:rsidR="00000000" w:rsidRPr="00111D4C" w:rsidP="00111D4C">
            <w:pPr>
              <w:pStyle w:val="ListBullet"/>
            </w:pPr>
            <w:r w:rsidRPr="00111D4C">
              <w:t>SDS/MSDS</w:t>
            </w:r>
          </w:p>
          <w:p w:rsidR="00000000" w:rsidRPr="00111D4C" w:rsidP="00111D4C">
            <w:pPr>
              <w:pStyle w:val="ListBullet"/>
            </w:pPr>
            <w:r w:rsidRPr="00111D4C">
              <w:t>service and maintenance procedures</w:t>
            </w:r>
          </w:p>
          <w:p w:rsidR="00000000" w:rsidRPr="00111D4C" w:rsidP="00111D4C">
            <w:pPr>
              <w:pStyle w:val="ListBullet"/>
            </w:pPr>
            <w:r w:rsidRPr="00111D4C">
              <w:t>site layout including location of rubbish disposal bins and run-off protection measures</w:t>
            </w:r>
          </w:p>
          <w:p w:rsidR="00000000" w:rsidRPr="00111D4C" w:rsidP="00111D4C">
            <w:pPr>
              <w:pStyle w:val="ListBullet"/>
            </w:pPr>
            <w:r w:rsidRPr="00111D4C">
              <w:t xml:space="preserve">typical problems that can occur when caring for the environment, and appropriate actions that can be </w:t>
            </w:r>
            <w:r w:rsidRPr="00111D4C">
              <w:t>taken to prevent or solve these problems</w:t>
            </w:r>
          </w:p>
          <w:p w:rsidR="00000000" w:rsidRPr="00111D4C" w:rsidP="00111D4C">
            <w:pPr>
              <w:pStyle w:val="ListBullet"/>
            </w:pPr>
            <w:r w:rsidRPr="00111D4C">
              <w:t>workplace procedures and guidelines for caring for the environment during rail infrastructure maintenance and construction.</w:t>
            </w:r>
          </w:p>
        </w:tc>
      </w:tr>
    </w:tbl>
    <w:p w:rsidR="00000000" w:rsidRPr="00111D4C" w:rsidP="00111D4C">
      <w:pPr>
        <w:pStyle w:val="NoPaddingFontSize1"/>
      </w:pPr>
    </w:p>
    <w:p w:rsidR="00000000" w:rsidRPr="00111D4C" w:rsidP="00111D4C">
      <w:pPr>
        <w:pStyle w:val="AllowPageBreak"/>
      </w:pPr>
    </w:p>
    <w:p w:rsidR="00000000" w:rsidRPr="00111D4C" w:rsidP="00111D4C">
      <w:pPr>
        <w:pStyle w:val="Heading1"/>
      </w:pPr>
      <w:bookmarkStart w:id="4" w:name="O_1120830"/>
      <w:bookmarkEnd w:id="4"/>
      <w:r w:rsidRPr="00111D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4C" w:rsidP="00111D4C">
            <w:pPr>
              <w:pStyle w:val="BodyText"/>
            </w:pPr>
            <w:r w:rsidRPr="00111D4C">
              <w:t xml:space="preserve">Assessors must hold credentials specified within the Standards for Registered Training Organisations current at the time of assessment. </w:t>
            </w:r>
          </w:p>
          <w:p w:rsidR="00000000" w:rsidRPr="00111D4C" w:rsidP="00111D4C">
            <w:pPr>
              <w:pStyle w:val="BodyText"/>
            </w:pPr>
            <w:r w:rsidRPr="00111D4C">
              <w:t>Assessment must satisfy the Principles of Assessment and Rules of Evidence and all regulatory requirements included wit</w:t>
            </w:r>
            <w:r w:rsidRPr="00111D4C">
              <w:t>hin the Standards for Registered Training Organisations current at the time of assessment.</w:t>
            </w:r>
          </w:p>
          <w:p w:rsidR="00000000" w:rsidRPr="00111D4C" w:rsidP="00111D4C">
            <w:pPr>
              <w:pStyle w:val="BodyText"/>
            </w:pPr>
            <w:r w:rsidRPr="00111D4C">
              <w:t>Assessment must occur in workplace operational situations or, where this is not available, in simulated workplace operational situations that replicate rail corridor</w:t>
            </w:r>
            <w:r w:rsidRPr="00111D4C">
              <w:t xml:space="preserve"> workplace conditions.</w:t>
            </w:r>
          </w:p>
          <w:p w:rsidR="00000000" w:rsidRPr="00111D4C" w:rsidP="00111D4C">
            <w:pPr>
              <w:pStyle w:val="BodyText"/>
            </w:pPr>
            <w:r w:rsidRPr="00111D4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11D4C" w:rsidP="00111D4C">
            <w:pPr>
              <w:pStyle w:val="BodyText"/>
            </w:pPr>
            <w:r w:rsidRPr="00111D4C">
              <w:t>Resources for assessment must include access to:</w:t>
            </w:r>
          </w:p>
          <w:p w:rsidR="00000000" w:rsidRPr="00111D4C" w:rsidP="00111D4C">
            <w:pPr>
              <w:pStyle w:val="ListBullet"/>
            </w:pPr>
            <w:r w:rsidRPr="00111D4C">
              <w:t>a range of rele</w:t>
            </w:r>
            <w:r w:rsidRPr="00111D4C">
              <w:t>vant exercises, case studies and/or simulations</w:t>
            </w:r>
          </w:p>
          <w:p w:rsidR="00000000" w:rsidRPr="00111D4C" w:rsidP="00111D4C">
            <w:pPr>
              <w:pStyle w:val="ListBullet"/>
            </w:pPr>
            <w:r w:rsidRPr="00111D4C">
              <w:t>relevant and appropriate materials, tools, equipment and personal protective equipment (PPE) currently used in industry</w:t>
            </w:r>
          </w:p>
          <w:p w:rsidR="00000000" w:rsidRPr="00111D4C" w:rsidP="00111D4C">
            <w:pPr>
              <w:pStyle w:val="ListBullet"/>
            </w:pPr>
            <w:r w:rsidRPr="00111D4C">
              <w:t>applicable documentation including workplace procedures, regulations, rail network stand</w:t>
            </w:r>
            <w:r w:rsidRPr="00111D4C">
              <w:t>ards, SDS/MSDS, codes of practice and operation manuals.</w:t>
            </w:r>
          </w:p>
        </w:tc>
      </w:tr>
    </w:tbl>
    <w:p w:rsidR="00000000" w:rsidRPr="00111D4C" w:rsidP="00111D4C">
      <w:pPr>
        <w:pStyle w:val="NoPaddingFontSize1"/>
      </w:pPr>
    </w:p>
    <w:p w:rsidR="00000000" w:rsidRPr="00111D4C" w:rsidP="00111D4C">
      <w:pPr>
        <w:pStyle w:val="AllowPageBreak"/>
      </w:pPr>
    </w:p>
    <w:p w:rsidR="00000000" w:rsidRPr="00111D4C" w:rsidP="00111D4C">
      <w:pPr>
        <w:pStyle w:val="Heading1"/>
      </w:pPr>
      <w:bookmarkStart w:id="5" w:name="O_1120845"/>
      <w:bookmarkEnd w:id="5"/>
      <w:r w:rsidRPr="00111D4C">
        <w:t>Links</w:t>
      </w:r>
    </w:p>
    <w:p w:rsidR="00000000" w:rsidRPr="00111D4C" w:rsidP="001069CB">
      <w:pPr>
        <w:pStyle w:val="BodyText"/>
      </w:pPr>
      <w:r w:rsidRPr="00111D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851B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1D4C" w:rsidP="00111D4C"/>
    <w:sectPr w:rsidSect="00111D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D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D4C" w:rsidRPr="001069CB" w:rsidP="001069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D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CB" w:rsidP="00111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69CB" w:rsidP="00111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069CB" w:rsidP="00111D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D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D4C" w:rsidRPr="001069CB" w:rsidP="001069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D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9CB" w:rsidRPr="002D2AF8" w:rsidP="00111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TLIU2008 Apply environmental procedures to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069CB" w:rsidP="00111D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32E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268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D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D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D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D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D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D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D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D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D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D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D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D4C"/>
  </w:style>
  <w:style w:type="character" w:customStyle="1" w:styleId="Heading1Char">
    <w:name w:val="Heading 1 Char"/>
    <w:basedOn w:val="DefaultParagraphFont"/>
    <w:link w:val="Heading1"/>
    <w:rsid w:val="00111D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D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D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1D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1D4C"/>
    <w:rPr>
      <w:b/>
      <w:spacing w:val="0"/>
    </w:rPr>
  </w:style>
  <w:style w:type="paragraph" w:customStyle="1" w:styleId="SuperHeading">
    <w:name w:val="SuperHeading"/>
    <w:basedOn w:val="Normal"/>
    <w:rsid w:val="00111D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1D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1D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D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D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D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D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D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D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D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D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D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D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D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D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D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D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D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1D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D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D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1D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1D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D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D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D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D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D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D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D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D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1D4C"/>
    <w:rPr>
      <w:i/>
    </w:rPr>
  </w:style>
  <w:style w:type="paragraph" w:styleId="Caption">
    <w:name w:val="caption"/>
    <w:basedOn w:val="BodyText"/>
    <w:next w:val="Normal"/>
    <w:qFormat/>
    <w:rsid w:val="00111D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D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D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D4C"/>
  </w:style>
  <w:style w:type="paragraph" w:styleId="TableofFigures">
    <w:name w:val="table of figures"/>
    <w:basedOn w:val="Normal"/>
    <w:next w:val="Normal"/>
    <w:semiHidden/>
    <w:rsid w:val="00111D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D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1D4C"/>
    <w:rPr>
      <w:rFonts w:ascii="Wingdings" w:hAnsi="Wingdings"/>
    </w:rPr>
  </w:style>
  <w:style w:type="paragraph" w:customStyle="1" w:styleId="TableHeading">
    <w:name w:val="Table Heading"/>
    <w:basedOn w:val="HeadingBase"/>
    <w:rsid w:val="00111D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D4C"/>
    <w:rPr>
      <w:color w:val="0033CC"/>
      <w:u w:val="none"/>
    </w:rPr>
  </w:style>
  <w:style w:type="paragraph" w:customStyle="1" w:styleId="BodyTextRight">
    <w:name w:val="Body Text Right"/>
    <w:basedOn w:val="BodyText"/>
    <w:rsid w:val="00111D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D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D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D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D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D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D4C"/>
    <w:rPr>
      <w:sz w:val="32"/>
    </w:rPr>
  </w:style>
  <w:style w:type="paragraph" w:customStyle="1" w:styleId="HeadingProcedure">
    <w:name w:val="Heading Procedure"/>
    <w:basedOn w:val="HeadingBase"/>
    <w:next w:val="Normal"/>
    <w:rsid w:val="00111D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D4C"/>
    <w:pPr>
      <w:spacing w:before="60" w:after="60"/>
    </w:pPr>
  </w:style>
  <w:style w:type="paragraph" w:styleId="ListContinue">
    <w:name w:val="List Continue"/>
    <w:basedOn w:val="List"/>
    <w:rsid w:val="00111D4C"/>
    <w:pPr>
      <w:ind w:firstLine="0"/>
    </w:pPr>
  </w:style>
  <w:style w:type="paragraph" w:customStyle="1" w:styleId="ListNote">
    <w:name w:val="List Note"/>
    <w:basedOn w:val="List"/>
    <w:rsid w:val="00111D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D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D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D4C"/>
    <w:rPr>
      <w:rFonts w:ascii="Courier New" w:hAnsi="Courier New"/>
    </w:rPr>
  </w:style>
  <w:style w:type="paragraph" w:customStyle="1" w:styleId="NoteBullet">
    <w:name w:val="Note Bullet"/>
    <w:basedOn w:val="Note"/>
    <w:rsid w:val="00111D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D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D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D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D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1D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D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D4C"/>
    <w:rPr>
      <w:b/>
      <w:smallCaps/>
    </w:rPr>
  </w:style>
  <w:style w:type="paragraph" w:customStyle="1" w:styleId="TableListNumber">
    <w:name w:val="Table List Number"/>
    <w:basedOn w:val="ListNumber"/>
    <w:rsid w:val="00111D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D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D4C"/>
    <w:pPr>
      <w:numPr>
        <w:numId w:val="8"/>
      </w:numPr>
    </w:pPr>
  </w:style>
  <w:style w:type="paragraph" w:customStyle="1" w:styleId="ListAlpha2">
    <w:name w:val="List Alpha 2"/>
    <w:basedOn w:val="List2"/>
    <w:rsid w:val="00111D4C"/>
    <w:pPr>
      <w:numPr>
        <w:numId w:val="7"/>
      </w:numPr>
    </w:pPr>
  </w:style>
  <w:style w:type="paragraph" w:styleId="List2">
    <w:name w:val="List 2"/>
    <w:basedOn w:val="BodyText"/>
    <w:rsid w:val="00111D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D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D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D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D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D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1D4C"/>
    <w:pPr>
      <w:numPr>
        <w:numId w:val="3"/>
      </w:numPr>
    </w:pPr>
  </w:style>
  <w:style w:type="paragraph" w:styleId="ListContinue2">
    <w:name w:val="List Continue 2"/>
    <w:basedOn w:val="List2"/>
    <w:rsid w:val="00111D4C"/>
    <w:pPr>
      <w:ind w:firstLine="0"/>
    </w:pPr>
  </w:style>
  <w:style w:type="paragraph" w:styleId="ListContinue3">
    <w:name w:val="List Continue 3"/>
    <w:basedOn w:val="List3"/>
    <w:rsid w:val="00111D4C"/>
    <w:pPr>
      <w:ind w:left="1021" w:firstLine="0"/>
    </w:pPr>
  </w:style>
  <w:style w:type="paragraph" w:styleId="ListContinue4">
    <w:name w:val="List Continue 4"/>
    <w:basedOn w:val="List4"/>
    <w:rsid w:val="00111D4C"/>
    <w:pPr>
      <w:ind w:firstLine="0"/>
    </w:pPr>
  </w:style>
  <w:style w:type="paragraph" w:styleId="ListContinue5">
    <w:name w:val="List Continue 5"/>
    <w:basedOn w:val="List5"/>
    <w:rsid w:val="00111D4C"/>
    <w:pPr>
      <w:ind w:firstLine="0"/>
    </w:pPr>
  </w:style>
  <w:style w:type="paragraph" w:styleId="ListNumber3">
    <w:name w:val="List Number 3"/>
    <w:basedOn w:val="List3"/>
    <w:rsid w:val="00111D4C"/>
    <w:pPr>
      <w:numPr>
        <w:numId w:val="4"/>
      </w:numPr>
    </w:pPr>
  </w:style>
  <w:style w:type="paragraph" w:styleId="ListNumber4">
    <w:name w:val="List Number 4"/>
    <w:basedOn w:val="List4"/>
    <w:rsid w:val="00111D4C"/>
    <w:pPr>
      <w:numPr>
        <w:numId w:val="5"/>
      </w:numPr>
    </w:pPr>
  </w:style>
  <w:style w:type="paragraph" w:styleId="ListNumber5">
    <w:name w:val="List Number 5"/>
    <w:basedOn w:val="List5"/>
    <w:rsid w:val="00111D4C"/>
    <w:pPr>
      <w:numPr>
        <w:numId w:val="6"/>
      </w:numPr>
    </w:pPr>
  </w:style>
  <w:style w:type="paragraph" w:styleId="BlockText">
    <w:name w:val="Block Text"/>
    <w:basedOn w:val="Normal"/>
    <w:rsid w:val="00111D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D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D4C"/>
    <w:rPr>
      <w:sz w:val="16"/>
      <w:vertAlign w:val="superscript"/>
    </w:rPr>
  </w:style>
  <w:style w:type="character" w:customStyle="1" w:styleId="Symbols">
    <w:name w:val="Symbols"/>
    <w:basedOn w:val="DefaultParagraphFont"/>
    <w:rsid w:val="00111D4C"/>
    <w:rPr>
      <w:rFonts w:ascii="Symbol" w:hAnsi="Symbol"/>
    </w:rPr>
  </w:style>
  <w:style w:type="character" w:customStyle="1" w:styleId="MenuOptions">
    <w:name w:val="Menu Options"/>
    <w:basedOn w:val="DefaultParagraphFont"/>
    <w:rsid w:val="00111D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D4C"/>
    <w:rPr>
      <w:b/>
    </w:rPr>
  </w:style>
  <w:style w:type="character" w:customStyle="1" w:styleId="Underlined">
    <w:name w:val="Underlined"/>
    <w:basedOn w:val="DefaultParagraphFont"/>
    <w:rsid w:val="00111D4C"/>
    <w:rPr>
      <w:u w:val="single"/>
    </w:rPr>
  </w:style>
  <w:style w:type="paragraph" w:customStyle="1" w:styleId="TableBodyTextRight">
    <w:name w:val="Table Body Text Right"/>
    <w:basedOn w:val="TableBodyText"/>
    <w:rsid w:val="00111D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D4C"/>
    <w:rPr>
      <w:sz w:val="18"/>
    </w:rPr>
  </w:style>
  <w:style w:type="paragraph" w:customStyle="1" w:styleId="BodySmallRight">
    <w:name w:val="Body Small Right"/>
    <w:basedOn w:val="BodyTextRight"/>
    <w:rsid w:val="00111D4C"/>
    <w:rPr>
      <w:sz w:val="18"/>
      <w:szCs w:val="18"/>
    </w:rPr>
  </w:style>
  <w:style w:type="paragraph" w:customStyle="1" w:styleId="MarginEdition">
    <w:name w:val="Margin Edition"/>
    <w:basedOn w:val="MarginNote"/>
    <w:rsid w:val="00111D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D4C"/>
    <w:rPr>
      <w:sz w:val="2"/>
      <w:szCs w:val="2"/>
    </w:rPr>
  </w:style>
  <w:style w:type="character" w:customStyle="1" w:styleId="Small">
    <w:name w:val="Small"/>
    <w:basedOn w:val="DefaultParagraphFont"/>
    <w:rsid w:val="00111D4C"/>
    <w:rPr>
      <w:sz w:val="16"/>
    </w:rPr>
  </w:style>
  <w:style w:type="paragraph" w:customStyle="1" w:styleId="WideTable">
    <w:name w:val="Wide Table"/>
    <w:basedOn w:val="Normal"/>
    <w:rsid w:val="00111D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D4C"/>
  </w:style>
  <w:style w:type="paragraph" w:styleId="Quote">
    <w:name w:val="Quote"/>
    <w:basedOn w:val="Heading1"/>
    <w:link w:val="QuoteChar"/>
    <w:qFormat/>
    <w:rsid w:val="00111D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D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D4C"/>
    <w:pPr>
      <w:pageBreakBefore/>
    </w:pPr>
  </w:style>
  <w:style w:type="paragraph" w:customStyle="1" w:styleId="Border">
    <w:name w:val="Border"/>
    <w:basedOn w:val="Normal"/>
    <w:qFormat/>
    <w:rsid w:val="00111D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D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D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D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D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D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D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D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D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D4C"/>
    <w:rPr>
      <w:u w:val="single"/>
    </w:rPr>
  </w:style>
  <w:style w:type="character" w:customStyle="1" w:styleId="BoldandItalics">
    <w:name w:val="Bold and Italics"/>
    <w:qFormat/>
    <w:rsid w:val="00111D4C"/>
    <w:rPr>
      <w:b/>
      <w:i/>
      <w:u w:val="none"/>
    </w:rPr>
  </w:style>
  <w:style w:type="paragraph" w:styleId="BalloonText">
    <w:name w:val="Balloon Text"/>
    <w:basedOn w:val="Normal"/>
    <w:link w:val="BalloonTextChar"/>
    <w:rsid w:val="00111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D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D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D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D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D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D4C"/>
    <w:pPr>
      <w:spacing w:before="0" w:after="0"/>
    </w:pPr>
  </w:style>
  <w:style w:type="paragraph" w:customStyle="1" w:styleId="BodyTextBold">
    <w:name w:val="Body Text Bold"/>
    <w:basedOn w:val="BodyText"/>
    <w:qFormat/>
    <w:rsid w:val="00111D4C"/>
    <w:rPr>
      <w:b/>
    </w:rPr>
  </w:style>
  <w:style w:type="character" w:styleId="Hyperlink">
    <w:name w:val="Hyperlink"/>
    <w:basedOn w:val="DefaultParagraphFont"/>
    <w:uiPriority w:val="99"/>
    <w:unhideWhenUsed/>
    <w:rsid w:val="001069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4459</Characters>
  <Application>Microsoft Office Word</Application>
  <DocSecurity>0</DocSecurity>
  <Lines>94</Lines>
  <Paragraphs>60</Paragraphs>
  <ScaleCrop>false</ScaleCrop>
  <Company>Author-it Software Corporation Ltd.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TLIU2008 Apply environmental procedures to rail infrastructure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