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292" w:rsidP="00844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TLIU1013 Prepare for environmentally sustainable work practices</w:t>
      </w:r>
      <w:r>
        <w:fldChar w:fldCharType="end"/>
      </w:r>
    </w:p>
    <w:p w:rsidR="00844292" w:rsidP="00844292">
      <w:pPr>
        <w:pStyle w:val="Version"/>
        <w:sectPr w:rsidSect="00D956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68F" w:rsidP="00D9568F">
      <w:pPr>
        <w:pStyle w:val="SuperHeading"/>
      </w:pPr>
      <w:r w:rsidRPr="00D9568F">
        <w:t>TLIU1013 Prepare for environmentally sustainable work practices</w:t>
      </w:r>
    </w:p>
    <w:p w:rsidR="00000000" w:rsidRPr="00D9568F" w:rsidP="00D9568F">
      <w:pPr>
        <w:pStyle w:val="Heading1"/>
      </w:pPr>
      <w:bookmarkStart w:id="1" w:name="O_741924"/>
      <w:bookmarkEnd w:id="1"/>
      <w:r w:rsidRPr="00D9568F">
        <w:t>Modification History</w:t>
      </w:r>
    </w:p>
    <w:p w:rsidR="00844292" w:rsidP="00844292">
      <w:pPr>
        <w:pStyle w:val="BodyText"/>
      </w:pPr>
      <w:r w:rsidRPr="00D9568F">
        <w:t>Release 1. This is the first release of this unit of competency in the TLI Transport and Logistics Training Package.</w:t>
      </w:r>
    </w:p>
    <w:p w:rsidR="00000000" w:rsidRPr="00D9568F" w:rsidP="00D9568F">
      <w:pPr>
        <w:pStyle w:val="Heading1"/>
      </w:pPr>
      <w:bookmarkStart w:id="2" w:name="O_741925"/>
      <w:bookmarkEnd w:id="2"/>
      <w:r w:rsidRPr="00D9568F">
        <w:t>Application</w:t>
      </w:r>
    </w:p>
    <w:p w:rsidR="00000000" w:rsidRPr="00D9568F" w:rsidP="00844292">
      <w:pPr>
        <w:pStyle w:val="BodyText"/>
      </w:pPr>
      <w:r w:rsidRPr="00D9568F">
        <w:t>This unit involves the skills and knowledge required to prepare for environmentally sustainable work practices in the transport and logistics industry.</w:t>
      </w:r>
    </w:p>
    <w:p w:rsidR="00000000" w:rsidRPr="00D9568F" w:rsidP="00844292">
      <w:pPr>
        <w:pStyle w:val="BodyText"/>
      </w:pPr>
      <w:r w:rsidRPr="00D9568F">
        <w:t xml:space="preserve">It includes identifying industry environmental sustainability information and work practices, including </w:t>
      </w:r>
      <w:r w:rsidRPr="00D9568F">
        <w:t xml:space="preserve">applicable legislation, national standards, industry procedures and work health and safety (WHS)/occupational health and safety (OHS) requirements. </w:t>
      </w:r>
    </w:p>
    <w:p w:rsidR="00000000" w:rsidRPr="00D9568F" w:rsidP="00844292">
      <w:pPr>
        <w:pStyle w:val="BodyText"/>
      </w:pPr>
      <w:r w:rsidRPr="00D9568F">
        <w:t>It entails developing an understanding of developed strategies, systems and plans pertaining to environment</w:t>
      </w:r>
      <w:r w:rsidRPr="00D9568F">
        <w:t>ally sustainable work practices.</w:t>
      </w:r>
    </w:p>
    <w:p w:rsidR="00844292" w:rsidP="00844292">
      <w:pPr>
        <w:pStyle w:val="BodyText"/>
      </w:pPr>
      <w:r w:rsidRPr="00D9568F">
        <w:t>No licensing, legislative or certification requirements apply to this unit at the time of publication.</w:t>
      </w:r>
    </w:p>
    <w:p w:rsidR="00000000" w:rsidRPr="00D9568F" w:rsidP="00D9568F">
      <w:pPr>
        <w:pStyle w:val="Heading1"/>
      </w:pPr>
      <w:bookmarkStart w:id="3" w:name="O_741926"/>
      <w:bookmarkEnd w:id="3"/>
      <w:r w:rsidRPr="00D9568F">
        <w:t>Pre-requisite Unit</w:t>
      </w:r>
    </w:p>
    <w:p w:rsidR="00000000" w:rsidRPr="00D9568F" w:rsidP="00844292">
      <w:pPr>
        <w:pStyle w:val="BodyText"/>
      </w:pPr>
      <w:r w:rsidRPr="00D9568F">
        <w:t>Not applicable.</w:t>
      </w:r>
    </w:p>
    <w:p w:rsidR="00000000" w:rsidRPr="00D9568F" w:rsidP="00D9568F">
      <w:pPr>
        <w:pStyle w:val="Heading1"/>
      </w:pPr>
      <w:bookmarkStart w:id="4" w:name="O_741927"/>
      <w:bookmarkEnd w:id="4"/>
      <w:r w:rsidRPr="00D9568F">
        <w:t>Competency Field</w:t>
      </w:r>
    </w:p>
    <w:p w:rsidR="00000000" w:rsidRPr="00D9568F" w:rsidP="00844292">
      <w:pPr>
        <w:pStyle w:val="BodyText"/>
      </w:pPr>
      <w:r w:rsidRPr="00D9568F">
        <w:t>U ‒ Environment</w:t>
      </w:r>
    </w:p>
    <w:p w:rsidR="00000000" w:rsidRPr="00D9568F" w:rsidP="00D9568F">
      <w:pPr>
        <w:pStyle w:val="Heading1"/>
      </w:pPr>
      <w:bookmarkStart w:id="5" w:name="O_741928"/>
      <w:bookmarkEnd w:id="5"/>
      <w:r w:rsidRPr="00D9568F">
        <w:t>Unit Sector</w:t>
      </w:r>
    </w:p>
    <w:p w:rsidR="00000000" w:rsidRPr="00D9568F" w:rsidP="00844292">
      <w:pPr>
        <w:pStyle w:val="BodyText"/>
      </w:pPr>
      <w:r w:rsidRPr="00D9568F">
        <w:t>Not applicable.</w:t>
      </w:r>
    </w:p>
    <w:p w:rsidR="00000000" w:rsidRPr="00D9568F" w:rsidP="00D9568F">
      <w:pPr>
        <w:pStyle w:val="Heading1"/>
      </w:pPr>
      <w:bookmarkStart w:id="6" w:name="O_741929"/>
      <w:bookmarkEnd w:id="6"/>
      <w:r w:rsidRPr="00D9568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"/>
        <w:gridCol w:w="1681"/>
        <w:gridCol w:w="525"/>
        <w:gridCol w:w="6675"/>
      </w:tblGrid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8F" w:rsidP="00D9568F">
            <w:pPr>
              <w:pStyle w:val="BodyText"/>
            </w:pPr>
            <w:r w:rsidRPr="00D9568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rPr>
                <w:rStyle w:val="SpecialBold"/>
              </w:rPr>
              <w:t>PERFORMANCE CRITERIA</w:t>
            </w:r>
          </w:p>
        </w:tc>
      </w:tr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Performance criteria describe the performance needed to demonstrate achievement of the element.</w:t>
            </w:r>
          </w:p>
        </w:tc>
      </w:tr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8F" w:rsidP="00D9568F">
            <w:pPr>
              <w:pStyle w:val="BodyText"/>
            </w:pPr>
            <w:r w:rsidRPr="00D9568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rPr>
                <w:rStyle w:val="SpecialBold"/>
              </w:rPr>
              <w:t xml:space="preserve">Identify industry </w:t>
            </w:r>
            <w:r w:rsidRPr="00D9568F">
              <w:rPr>
                <w:rStyle w:val="SpecialBold"/>
              </w:rPr>
              <w:t>environmentally sustainable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Workplace environmental and resource efficiency issues are identified</w:t>
            </w:r>
          </w:p>
        </w:tc>
      </w:tr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Range of issues relevant to employment in transport and logistics, including the application of legislation and national standards, industry procedures and WHS/OHS requirements, are assessed from an environmental sustainability point of view</w:t>
            </w:r>
          </w:p>
        </w:tc>
      </w:tr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8F" w:rsidP="00D9568F">
            <w:pPr>
              <w:pStyle w:val="BodyText"/>
            </w:pPr>
            <w:r w:rsidRPr="00D9568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rPr>
                <w:rStyle w:val="SpecialBold"/>
              </w:rPr>
              <w:t>Identify in</w:t>
            </w:r>
            <w:r w:rsidRPr="00D9568F">
              <w:rPr>
                <w:rStyle w:val="SpecialBold"/>
              </w:rPr>
              <w:t xml:space="preserve">dustry environmentally sustainable work practices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Reasons for environmental sustainability action are identified</w:t>
            </w:r>
          </w:p>
        </w:tc>
      </w:tr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8F" w:rsidP="00D9568F">
            <w:pPr>
              <w:pStyle w:val="BodyText"/>
            </w:pPr>
            <w:r w:rsidRPr="00D9568F">
              <w:t>Appropriate transport and logistics environmentally sustainable work practices are listed</w:t>
            </w:r>
          </w:p>
        </w:tc>
      </w:tr>
    </w:tbl>
    <w:p w:rsidR="00844292" w:rsidP="00D9568F">
      <w:pPr>
        <w:pStyle w:val="BodyText"/>
      </w:pPr>
    </w:p>
    <w:p w:rsidR="00844292" w:rsidP="00D9568F">
      <w:pPr>
        <w:pStyle w:val="BodyText"/>
      </w:pPr>
    </w:p>
    <w:p w:rsidR="00000000" w:rsidRPr="00D9568F" w:rsidP="00D9568F">
      <w:pPr>
        <w:pStyle w:val="Heading1"/>
      </w:pPr>
      <w:bookmarkStart w:id="7" w:name="O_741930"/>
      <w:bookmarkEnd w:id="7"/>
      <w:r w:rsidRPr="00D9568F">
        <w:t>Foundation Skills</w:t>
      </w:r>
    </w:p>
    <w:p w:rsidR="00844292" w:rsidP="00844292">
      <w:pPr>
        <w:pStyle w:val="BodyText"/>
      </w:pPr>
      <w:r w:rsidRPr="00D9568F">
        <w:t>Foundation skills essential to performance are explicit in the performance criteria of this unit of competency.</w:t>
      </w:r>
    </w:p>
    <w:p w:rsidR="00000000" w:rsidRPr="00D9568F" w:rsidP="00D9568F">
      <w:pPr>
        <w:pStyle w:val="Heading1"/>
      </w:pPr>
      <w:bookmarkStart w:id="8" w:name="O_741931"/>
      <w:bookmarkEnd w:id="8"/>
      <w:r w:rsidRPr="00D9568F">
        <w:t>Range of Conditions</w:t>
      </w:r>
    </w:p>
    <w:p w:rsidR="00000000" w:rsidRPr="00D9568F" w:rsidP="00844292">
      <w:pPr>
        <w:pStyle w:val="BodyText"/>
      </w:pPr>
      <w:r w:rsidRPr="00D9568F">
        <w:t>Range is restricted to essential operating conditions and any other variables essential to the work enviro</w:t>
      </w:r>
      <w:r w:rsidRPr="00D9568F">
        <w:t>nment.</w:t>
      </w:r>
    </w:p>
    <w:p w:rsidR="00844292" w:rsidP="00844292">
      <w:pPr>
        <w:pStyle w:val="BodyText"/>
      </w:pPr>
      <w:r w:rsidRPr="00D9568F">
        <w:t>Non-essential conditions can be found in the Companion Volume Implementation Guide.</w:t>
      </w:r>
    </w:p>
    <w:p w:rsidR="00000000" w:rsidRPr="00D9568F" w:rsidP="00D9568F">
      <w:pPr>
        <w:pStyle w:val="Heading1"/>
      </w:pPr>
      <w:bookmarkStart w:id="9" w:name="O_741932"/>
      <w:bookmarkEnd w:id="9"/>
      <w:r w:rsidRPr="00D9568F">
        <w:t>Unit Mapping Information</w:t>
      </w:r>
    </w:p>
    <w:p w:rsidR="00000000" w:rsidRPr="00D9568F" w:rsidP="00844292">
      <w:pPr>
        <w:pStyle w:val="BodyText"/>
      </w:pPr>
      <w:r w:rsidRPr="00D9568F">
        <w:t>This unit replaces and is equivalent to TLIU1013A Prepare for environmentally sustainable work practices.</w:t>
      </w:r>
    </w:p>
    <w:p w:rsidR="00000000" w:rsidRPr="00D9568F" w:rsidP="00D9568F">
      <w:pPr>
        <w:pStyle w:val="Heading1"/>
      </w:pPr>
      <w:bookmarkStart w:id="10" w:name="O_741939"/>
      <w:bookmarkEnd w:id="10"/>
      <w:r w:rsidRPr="00D9568F">
        <w:t>Links</w:t>
      </w:r>
    </w:p>
    <w:p w:rsidR="00000000" w:rsidRPr="00D9568F" w:rsidP="00844292">
      <w:pPr>
        <w:pStyle w:val="BodyText"/>
      </w:pPr>
      <w:r w:rsidRPr="00D956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42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9568F" w:rsidP="00844292">
      <w:pPr>
        <w:pStyle w:val="BodyText"/>
        <w:sectPr w:rsidSect="00D956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568F" w:rsidP="00D9568F">
      <w:pPr>
        <w:pStyle w:val="SuperHeading"/>
      </w:pPr>
      <w:r w:rsidRPr="00D9568F">
        <w:t>Assessment Requirements for TLIU1013 Prepare for environ</w:t>
      </w:r>
      <w:r w:rsidRPr="00D9568F">
        <w:t>mentally sustainable work practices</w:t>
      </w:r>
    </w:p>
    <w:p w:rsidR="00000000" w:rsidRPr="00D9568F" w:rsidP="00D9568F">
      <w:pPr>
        <w:pStyle w:val="Heading1"/>
      </w:pPr>
      <w:bookmarkStart w:id="11" w:name="O_741934"/>
      <w:bookmarkEnd w:id="11"/>
      <w:r w:rsidRPr="00D9568F">
        <w:t>Modification History</w:t>
      </w:r>
    </w:p>
    <w:p w:rsidR="00844292" w:rsidP="00844292">
      <w:pPr>
        <w:pStyle w:val="BodyText"/>
      </w:pPr>
      <w:r w:rsidRPr="00D9568F">
        <w:t>Release 1. This is the first release of this unit of competency in the TLI Transport and Logistics Training Package.</w:t>
      </w:r>
    </w:p>
    <w:p w:rsidR="00000000" w:rsidRPr="00D9568F" w:rsidP="00D9568F">
      <w:pPr>
        <w:pStyle w:val="Heading1"/>
      </w:pPr>
      <w:bookmarkStart w:id="12" w:name="O_741935"/>
      <w:bookmarkEnd w:id="12"/>
      <w:r w:rsidRPr="00D9568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Evidence required to demons</w:t>
            </w:r>
            <w:r w:rsidRPr="00D9568F">
              <w:t>trate competence in this unit must be relevant to and satisfy all of the requirements of the elements and performance criteria on at least one occasion and include:</w:t>
            </w:r>
          </w:p>
        </w:tc>
      </w:tr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8F" w:rsidP="00D9568F">
            <w:pPr>
              <w:pStyle w:val="ListBullet"/>
            </w:pPr>
            <w:r w:rsidRPr="00D9568F">
              <w:t>complying with w</w:t>
            </w:r>
            <w:r w:rsidRPr="00D9568F">
              <w:t>ork health and safety (WHS)/occupational health and safety (OHS) standards</w:t>
            </w:r>
          </w:p>
          <w:p w:rsidR="00000000" w:rsidRPr="00D9568F" w:rsidP="00D9568F">
            <w:pPr>
              <w:pStyle w:val="ListBullet"/>
            </w:pPr>
            <w:r w:rsidRPr="00D9568F">
              <w:t>identifying reasons for environmentally sustainable work practices</w:t>
            </w:r>
          </w:p>
          <w:p w:rsidR="00000000" w:rsidRPr="00D9568F" w:rsidP="00D9568F">
            <w:pPr>
              <w:pStyle w:val="ListBullet"/>
            </w:pPr>
            <w:r w:rsidRPr="00D9568F">
              <w:t>identifying transport and logistics environmentally sustainable work practices</w:t>
            </w:r>
          </w:p>
          <w:p w:rsidR="00000000" w:rsidRPr="00D9568F" w:rsidP="00D9568F">
            <w:pPr>
              <w:pStyle w:val="ListBullet"/>
            </w:pPr>
            <w:r w:rsidRPr="00D9568F">
              <w:t>reading and interpreting work requi</w:t>
            </w:r>
            <w:r w:rsidRPr="00D9568F">
              <w:t>rements or safety data sheets (SDSs)/material safety data sheets (MSDSs).</w:t>
            </w:r>
          </w:p>
        </w:tc>
      </w:tr>
    </w:tbl>
    <w:p w:rsidR="00000000" w:rsidRPr="00D9568F" w:rsidP="00D9568F">
      <w:pPr>
        <w:pStyle w:val="BodyText"/>
      </w:pPr>
    </w:p>
    <w:p w:rsidR="00000000" w:rsidRPr="00D9568F" w:rsidP="00D9568F">
      <w:pPr>
        <w:pStyle w:val="AllowPageBreak"/>
      </w:pPr>
    </w:p>
    <w:p w:rsidR="00000000" w:rsidRPr="00D9568F" w:rsidP="00D9568F">
      <w:pPr>
        <w:pStyle w:val="Heading1"/>
      </w:pPr>
      <w:bookmarkStart w:id="13" w:name="O_741936"/>
      <w:bookmarkEnd w:id="13"/>
      <w:r w:rsidRPr="00D9568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8F">
            <w:pPr>
              <w:pStyle w:val="BodyText"/>
              <w:rPr>
                <w:lang w:val="en-NZ"/>
              </w:rPr>
            </w:pPr>
            <w:r w:rsidRPr="00D9568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442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8F" w:rsidP="00D9568F">
            <w:pPr>
              <w:pStyle w:val="List"/>
            </w:pPr>
            <w:r w:rsidRPr="00D9568F">
              <w:t>environmental issues relating to:</w:t>
            </w:r>
          </w:p>
          <w:p w:rsidR="00000000" w:rsidRPr="00D9568F" w:rsidP="00D9568F">
            <w:pPr>
              <w:pStyle w:val="ListBullet2"/>
            </w:pPr>
            <w:r w:rsidRPr="00D9568F">
              <w:t>life cycle of products: re-new, re-use a</w:t>
            </w:r>
            <w:r w:rsidRPr="00D9568F">
              <w:t>nd recycle</w:t>
            </w:r>
          </w:p>
          <w:p w:rsidR="00000000" w:rsidRPr="00D9568F" w:rsidP="00D9568F">
            <w:pPr>
              <w:pStyle w:val="ListBullet2"/>
            </w:pPr>
            <w:r w:rsidRPr="00D9568F">
              <w:t>workplace/site</w:t>
            </w:r>
          </w:p>
          <w:p w:rsidR="00000000" w:rsidRPr="00D9568F" w:rsidP="00D9568F">
            <w:pPr>
              <w:pStyle w:val="ListBullet"/>
            </w:pPr>
            <w:r w:rsidRPr="00D9568F">
              <w:t>service requirements for transport and logistics, including:</w:t>
            </w:r>
          </w:p>
          <w:p w:rsidR="00000000" w:rsidRPr="00D9568F" w:rsidP="00D9568F">
            <w:pPr>
              <w:pStyle w:val="ListBullet2"/>
            </w:pPr>
            <w:r w:rsidRPr="00D9568F">
              <w:t>company requirements and structure</w:t>
            </w:r>
          </w:p>
          <w:p w:rsidR="00000000" w:rsidRPr="00D9568F" w:rsidP="00D9568F">
            <w:pPr>
              <w:pStyle w:val="ListBullet2"/>
            </w:pPr>
            <w:r w:rsidRPr="00D9568F">
              <w:t>legislation, regulations and codes of practice applicable to specific transport and logistics functions</w:t>
            </w:r>
          </w:p>
          <w:p w:rsidR="00000000" w:rsidRPr="00D9568F" w:rsidP="00D9568F">
            <w:pPr>
              <w:pStyle w:val="ListBullet2"/>
            </w:pPr>
            <w:r w:rsidRPr="00D9568F">
              <w:t>selecting, operating, cleaning and maintaining equipment</w:t>
            </w:r>
          </w:p>
          <w:p w:rsidR="00000000" w:rsidRPr="00D9568F" w:rsidP="00D9568F">
            <w:pPr>
              <w:pStyle w:val="ListBullet2"/>
            </w:pPr>
            <w:r w:rsidRPr="00D9568F">
              <w:t>resource efficiency processes</w:t>
            </w:r>
          </w:p>
          <w:p w:rsidR="00000000" w:rsidRPr="00D9568F" w:rsidP="00D9568F">
            <w:pPr>
              <w:pStyle w:val="ListBullet2"/>
            </w:pPr>
            <w:r w:rsidRPr="00D9568F">
              <w:t>transport and logistics environmental options and best practices</w:t>
            </w:r>
          </w:p>
          <w:p w:rsidR="00000000" w:rsidRPr="00D9568F" w:rsidP="00D9568F">
            <w:pPr>
              <w:pStyle w:val="ListBullet2"/>
            </w:pPr>
            <w:r w:rsidRPr="00D9568F">
              <w:t>supply chain procedures</w:t>
            </w:r>
          </w:p>
          <w:p w:rsidR="00000000" w:rsidRPr="00D9568F" w:rsidP="00D9568F">
            <w:pPr>
              <w:pStyle w:val="ListBullet2"/>
            </w:pPr>
            <w:r w:rsidRPr="00D9568F">
              <w:t>relevant enterprise policies, procedures and protocols</w:t>
            </w:r>
          </w:p>
          <w:p w:rsidR="00000000" w:rsidRPr="00D9568F" w:rsidP="00D9568F">
            <w:pPr>
              <w:pStyle w:val="ListBullet2"/>
            </w:pPr>
            <w:r w:rsidRPr="00D9568F">
              <w:t>duty of care</w:t>
            </w:r>
          </w:p>
          <w:p w:rsidR="00000000" w:rsidRPr="00D9568F" w:rsidP="00D9568F">
            <w:pPr>
              <w:pStyle w:val="ListBullet"/>
            </w:pPr>
            <w:r w:rsidRPr="00D9568F">
              <w:t>sustainabil</w:t>
            </w:r>
            <w:r w:rsidRPr="00D9568F">
              <w:t>ity management principles, practices, tools and techniques relevant to transport and logistics, such as:</w:t>
            </w:r>
          </w:p>
          <w:p w:rsidR="00000000" w:rsidRPr="00D9568F" w:rsidP="00D9568F">
            <w:pPr>
              <w:pStyle w:val="ListBullet2"/>
            </w:pPr>
            <w:r w:rsidRPr="00D9568F">
              <w:t>correct use of equipment according to environmental protection regulations and guidelines</w:t>
            </w:r>
          </w:p>
          <w:p w:rsidR="00000000" w:rsidRPr="00D9568F" w:rsidP="00D9568F">
            <w:pPr>
              <w:pStyle w:val="ListBullet2"/>
            </w:pPr>
            <w:r w:rsidRPr="00D9568F">
              <w:t>techniques for minimising fuel/materials consumption</w:t>
            </w:r>
          </w:p>
          <w:p w:rsidR="00000000" w:rsidRPr="00D9568F" w:rsidP="00D9568F">
            <w:pPr>
              <w:pStyle w:val="ListBullet"/>
            </w:pPr>
            <w:r w:rsidRPr="00D9568F">
              <w:t>WHS/OH</w:t>
            </w:r>
            <w:r w:rsidRPr="00D9568F">
              <w:t>S requirements relating to the WHS/OHS hierarchy of control.</w:t>
            </w:r>
          </w:p>
        </w:tc>
      </w:tr>
    </w:tbl>
    <w:p w:rsidR="00844292" w:rsidP="00D9568F">
      <w:pPr>
        <w:pStyle w:val="BodyText"/>
      </w:pPr>
    </w:p>
    <w:p w:rsidR="00844292" w:rsidP="00D9568F">
      <w:pPr>
        <w:pStyle w:val="BodyText"/>
      </w:pPr>
    </w:p>
    <w:p w:rsidR="00000000" w:rsidRPr="00D9568F" w:rsidP="00D9568F">
      <w:pPr>
        <w:pStyle w:val="Heading1"/>
      </w:pPr>
      <w:bookmarkStart w:id="14" w:name="O_741937"/>
      <w:bookmarkEnd w:id="14"/>
      <w:r w:rsidRPr="00D9568F">
        <w:t>Assessment Conditions</w:t>
      </w:r>
    </w:p>
    <w:p w:rsidR="00000000" w:rsidRPr="00D9568F" w:rsidP="00844292">
      <w:pPr>
        <w:pStyle w:val="BodyText"/>
      </w:pPr>
      <w:r w:rsidRPr="00D9568F">
        <w:t>As a minimum, assessors must satisfy app</w:t>
      </w:r>
      <w:r w:rsidRPr="00D9568F">
        <w:t xml:space="preserve">licable regulatory requirements, which include requirements in the Standards for Registered Training Organisations, current at the time of assessment. </w:t>
      </w:r>
    </w:p>
    <w:p w:rsidR="00000000" w:rsidRPr="00D9568F" w:rsidP="00844292">
      <w:pPr>
        <w:pStyle w:val="BodyText"/>
      </w:pPr>
      <w:r w:rsidRPr="00D9568F">
        <w:t xml:space="preserve">As a minimum, assessment must satisfy applicable regulatory requirements, which include requirements in </w:t>
      </w:r>
      <w:r w:rsidRPr="00D9568F">
        <w:t>the Standards for Registered Training Organisations, current at the time of assessment.</w:t>
      </w:r>
    </w:p>
    <w:p w:rsidR="00000000" w:rsidRPr="00D9568F" w:rsidP="00844292">
      <w:pPr>
        <w:pStyle w:val="BodyText"/>
      </w:pPr>
      <w:r w:rsidRPr="00D9568F">
        <w:t xml:space="preserve">Assessment must occur in workplace operational situations where it is appropriate to do so; where this is not appropriate, assessment must occur in simulated workplace </w:t>
      </w:r>
      <w:r w:rsidRPr="00D9568F">
        <w:t xml:space="preserve">operational situations that replicate workplace conditions. </w:t>
      </w:r>
    </w:p>
    <w:p w:rsidR="00000000" w:rsidRPr="00D9568F" w:rsidP="00844292">
      <w:pPr>
        <w:pStyle w:val="BodyText"/>
      </w:pPr>
      <w:r w:rsidRPr="00D9568F">
        <w:t>Assessment processes and techniques must be appropriate to the language, literacy and numeracy requirements of the work being performed and the needs of the candidate.</w:t>
      </w:r>
    </w:p>
    <w:p w:rsidR="00000000" w:rsidRPr="00D9568F" w:rsidP="00844292">
      <w:pPr>
        <w:pStyle w:val="BodyText"/>
      </w:pPr>
      <w:r w:rsidRPr="00D9568F">
        <w:t>Resources for assessment in</w:t>
      </w:r>
      <w:r w:rsidRPr="00D9568F">
        <w:t>clude:</w:t>
      </w:r>
    </w:p>
    <w:p w:rsidR="00000000" w:rsidRPr="00D9568F" w:rsidP="00D9568F">
      <w:pPr>
        <w:pStyle w:val="ListBullet2"/>
      </w:pPr>
      <w:r w:rsidRPr="00D9568F">
        <w:t>a range of relevant exercises, case studies and/or simulations</w:t>
      </w:r>
    </w:p>
    <w:p w:rsidR="00000000" w:rsidRPr="00D9568F" w:rsidP="00D9568F">
      <w:pPr>
        <w:pStyle w:val="ListBullet2"/>
      </w:pPr>
      <w:r w:rsidRPr="00D9568F">
        <w:t xml:space="preserve">relevant and appropriate materials, tools, equipment, and personal protective equipment currently used in industry </w:t>
      </w:r>
    </w:p>
    <w:p w:rsidR="00844292" w:rsidP="00D9568F">
      <w:pPr>
        <w:pStyle w:val="ListBullet2"/>
      </w:pPr>
      <w:r w:rsidRPr="00D9568F">
        <w:t>applicable documentation including workplace procedures, regulations, codes of practice and operation manuals.</w:t>
      </w:r>
    </w:p>
    <w:p w:rsidR="00844292" w:rsidP="00D9568F">
      <w:pPr>
        <w:pStyle w:val="ListBullet2"/>
      </w:pPr>
    </w:p>
    <w:p w:rsidR="00000000" w:rsidRPr="00D9568F" w:rsidP="00D9568F">
      <w:pPr>
        <w:pStyle w:val="Heading1"/>
      </w:pPr>
      <w:bookmarkStart w:id="15" w:name="O_741940"/>
      <w:bookmarkEnd w:id="15"/>
      <w:r w:rsidRPr="00D9568F">
        <w:t>Links</w:t>
      </w:r>
    </w:p>
    <w:p w:rsidR="00000000" w:rsidRPr="00D9568F" w:rsidP="00844292">
      <w:pPr>
        <w:pStyle w:val="BodyText"/>
      </w:pPr>
      <w:r w:rsidRPr="00D956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F42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9568F" w:rsidP="00D9568F"/>
    <w:sectPr w:rsidSect="00D956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8F" w:rsidRPr="00844292" w:rsidP="00844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92" w:rsidP="00D95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292" w:rsidP="00D95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4292" w:rsidP="00D956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8F" w:rsidP="00D956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4292">
      <w:t>Approved</w:t>
    </w:r>
    <w:r w:rsidR="008442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42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4292">
      <w:rPr>
        <w:noProof/>
      </w:rPr>
      <w:t>4</w:t>
    </w:r>
    <w:r>
      <w:rPr>
        <w:noProof/>
      </w:rPr>
      <w:fldChar w:fldCharType="end"/>
    </w:r>
  </w:p>
  <w:p w:rsidR="00D9568F" w:rsidP="00D956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42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4292">
      <w:t>Industry Skills Australia</w:t>
    </w:r>
    <w:r w:rsidR="00844292">
      <w:fldChar w:fldCharType="end"/>
    </w:r>
  </w:p>
  <w:p w:rsidR="00D9568F" w:rsidP="00D956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68F" w:rsidRPr="00844292" w:rsidP="00844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92" w:rsidRPr="002D2AF8" w:rsidP="00D95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TLIU1013 Prepare for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4292" w:rsidP="00D956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8F" w:rsidRPr="002D2AF8" w:rsidP="00D956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4292">
      <w:t>TLIU1013 Prepare for environmentally sustainable work practices</w:t>
    </w:r>
    <w:r w:rsidR="008442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4292">
      <w:rPr>
        <w:noProof/>
      </w:rPr>
      <w:t>2 March 2025</w:t>
    </w:r>
    <w:r>
      <w:fldChar w:fldCharType="end"/>
    </w:r>
  </w:p>
  <w:p w:rsidR="00D9568F" w:rsidP="00D956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F8AE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0AC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E67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6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6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6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6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6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6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6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6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6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6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68F"/>
  </w:style>
  <w:style w:type="character" w:customStyle="1" w:styleId="Heading1Char">
    <w:name w:val="Heading 1 Char"/>
    <w:basedOn w:val="DefaultParagraphFont"/>
    <w:link w:val="Heading1"/>
    <w:rsid w:val="00D956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6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6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56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6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68F"/>
    <w:rPr>
      <w:b/>
      <w:spacing w:val="0"/>
    </w:rPr>
  </w:style>
  <w:style w:type="paragraph" w:styleId="ListBullet2">
    <w:name w:val="List Bullet 2"/>
    <w:basedOn w:val="List2"/>
    <w:rsid w:val="00D956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56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6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6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6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6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6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6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6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6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6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6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6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6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6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6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6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6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6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56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6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6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6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6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6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6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6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6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6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6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6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6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68F"/>
    <w:rPr>
      <w:i/>
    </w:rPr>
  </w:style>
  <w:style w:type="paragraph" w:styleId="Caption">
    <w:name w:val="caption"/>
    <w:basedOn w:val="BodyText"/>
    <w:next w:val="Normal"/>
    <w:qFormat/>
    <w:rsid w:val="00D956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6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6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68F"/>
  </w:style>
  <w:style w:type="paragraph" w:styleId="TableofFigures">
    <w:name w:val="table of figures"/>
    <w:basedOn w:val="Normal"/>
    <w:next w:val="Normal"/>
    <w:semiHidden/>
    <w:rsid w:val="00D956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6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68F"/>
    <w:rPr>
      <w:rFonts w:ascii="Wingdings" w:hAnsi="Wingdings"/>
    </w:rPr>
  </w:style>
  <w:style w:type="paragraph" w:customStyle="1" w:styleId="TableHeading">
    <w:name w:val="Table Heading"/>
    <w:basedOn w:val="HeadingBase"/>
    <w:rsid w:val="00D956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68F"/>
    <w:rPr>
      <w:color w:val="0033CC"/>
      <w:u w:val="none"/>
    </w:rPr>
  </w:style>
  <w:style w:type="paragraph" w:customStyle="1" w:styleId="BodyTextRight">
    <w:name w:val="Body Text Right"/>
    <w:basedOn w:val="BodyText"/>
    <w:rsid w:val="00D956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6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6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6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6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6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68F"/>
    <w:rPr>
      <w:sz w:val="32"/>
    </w:rPr>
  </w:style>
  <w:style w:type="paragraph" w:customStyle="1" w:styleId="HeadingProcedure">
    <w:name w:val="Heading Procedure"/>
    <w:basedOn w:val="HeadingBase"/>
    <w:next w:val="Normal"/>
    <w:rsid w:val="00D956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68F"/>
    <w:pPr>
      <w:spacing w:before="60" w:after="60"/>
    </w:pPr>
  </w:style>
  <w:style w:type="paragraph" w:styleId="ListContinue">
    <w:name w:val="List Continue"/>
    <w:basedOn w:val="List"/>
    <w:rsid w:val="00D9568F"/>
    <w:pPr>
      <w:ind w:firstLine="0"/>
    </w:pPr>
  </w:style>
  <w:style w:type="paragraph" w:customStyle="1" w:styleId="ListNote">
    <w:name w:val="List Note"/>
    <w:basedOn w:val="List"/>
    <w:rsid w:val="00D956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6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6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68F"/>
    <w:rPr>
      <w:rFonts w:ascii="Courier New" w:hAnsi="Courier New"/>
    </w:rPr>
  </w:style>
  <w:style w:type="paragraph" w:customStyle="1" w:styleId="NoteBullet">
    <w:name w:val="Note Bullet"/>
    <w:basedOn w:val="Note"/>
    <w:rsid w:val="00D956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6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6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6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6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6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6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68F"/>
    <w:rPr>
      <w:b/>
      <w:smallCaps/>
    </w:rPr>
  </w:style>
  <w:style w:type="paragraph" w:customStyle="1" w:styleId="TableListNumber">
    <w:name w:val="Table List Number"/>
    <w:basedOn w:val="ListNumber"/>
    <w:rsid w:val="00D956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6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68F"/>
    <w:pPr>
      <w:numPr>
        <w:numId w:val="9"/>
      </w:numPr>
    </w:pPr>
  </w:style>
  <w:style w:type="paragraph" w:customStyle="1" w:styleId="ListAlpha2">
    <w:name w:val="List Alpha 2"/>
    <w:basedOn w:val="List2"/>
    <w:rsid w:val="00D9568F"/>
    <w:pPr>
      <w:numPr>
        <w:numId w:val="8"/>
      </w:numPr>
    </w:pPr>
  </w:style>
  <w:style w:type="paragraph" w:styleId="List2">
    <w:name w:val="List 2"/>
    <w:basedOn w:val="BodyText"/>
    <w:rsid w:val="00D956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6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6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6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6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6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68F"/>
    <w:pPr>
      <w:numPr>
        <w:numId w:val="4"/>
      </w:numPr>
    </w:pPr>
  </w:style>
  <w:style w:type="paragraph" w:styleId="ListContinue2">
    <w:name w:val="List Continue 2"/>
    <w:basedOn w:val="List2"/>
    <w:rsid w:val="00D9568F"/>
    <w:pPr>
      <w:ind w:firstLine="0"/>
    </w:pPr>
  </w:style>
  <w:style w:type="paragraph" w:styleId="ListContinue3">
    <w:name w:val="List Continue 3"/>
    <w:basedOn w:val="List3"/>
    <w:rsid w:val="00D9568F"/>
    <w:pPr>
      <w:ind w:left="1021" w:firstLine="0"/>
    </w:pPr>
  </w:style>
  <w:style w:type="paragraph" w:styleId="ListContinue4">
    <w:name w:val="List Continue 4"/>
    <w:basedOn w:val="List4"/>
    <w:rsid w:val="00D9568F"/>
    <w:pPr>
      <w:ind w:firstLine="0"/>
    </w:pPr>
  </w:style>
  <w:style w:type="paragraph" w:styleId="ListContinue5">
    <w:name w:val="List Continue 5"/>
    <w:basedOn w:val="List5"/>
    <w:rsid w:val="00D9568F"/>
    <w:pPr>
      <w:ind w:firstLine="0"/>
    </w:pPr>
  </w:style>
  <w:style w:type="paragraph" w:styleId="ListNumber3">
    <w:name w:val="List Number 3"/>
    <w:basedOn w:val="List3"/>
    <w:rsid w:val="00D9568F"/>
    <w:pPr>
      <w:numPr>
        <w:numId w:val="5"/>
      </w:numPr>
    </w:pPr>
  </w:style>
  <w:style w:type="paragraph" w:styleId="ListNumber4">
    <w:name w:val="List Number 4"/>
    <w:basedOn w:val="List4"/>
    <w:rsid w:val="00D9568F"/>
    <w:pPr>
      <w:numPr>
        <w:numId w:val="6"/>
      </w:numPr>
    </w:pPr>
  </w:style>
  <w:style w:type="paragraph" w:styleId="ListNumber5">
    <w:name w:val="List Number 5"/>
    <w:basedOn w:val="List5"/>
    <w:rsid w:val="00D9568F"/>
    <w:pPr>
      <w:numPr>
        <w:numId w:val="7"/>
      </w:numPr>
    </w:pPr>
  </w:style>
  <w:style w:type="paragraph" w:styleId="BlockText">
    <w:name w:val="Block Text"/>
    <w:basedOn w:val="Normal"/>
    <w:rsid w:val="00D956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6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68F"/>
    <w:rPr>
      <w:sz w:val="16"/>
      <w:vertAlign w:val="superscript"/>
    </w:rPr>
  </w:style>
  <w:style w:type="character" w:customStyle="1" w:styleId="Symbols">
    <w:name w:val="Symbols"/>
    <w:basedOn w:val="DefaultParagraphFont"/>
    <w:rsid w:val="00D9568F"/>
    <w:rPr>
      <w:rFonts w:ascii="Symbol" w:hAnsi="Symbol"/>
    </w:rPr>
  </w:style>
  <w:style w:type="character" w:customStyle="1" w:styleId="MenuOptions">
    <w:name w:val="Menu Options"/>
    <w:basedOn w:val="DefaultParagraphFont"/>
    <w:rsid w:val="00D956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68F"/>
    <w:rPr>
      <w:b/>
    </w:rPr>
  </w:style>
  <w:style w:type="character" w:customStyle="1" w:styleId="Underlined">
    <w:name w:val="Underlined"/>
    <w:basedOn w:val="DefaultParagraphFont"/>
    <w:rsid w:val="00D9568F"/>
    <w:rPr>
      <w:u w:val="single"/>
    </w:rPr>
  </w:style>
  <w:style w:type="paragraph" w:customStyle="1" w:styleId="TableBodyTextRight">
    <w:name w:val="Table Body Text Right"/>
    <w:basedOn w:val="TableBodyText"/>
    <w:rsid w:val="00D956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68F"/>
    <w:rPr>
      <w:sz w:val="18"/>
    </w:rPr>
  </w:style>
  <w:style w:type="paragraph" w:customStyle="1" w:styleId="BodySmallRight">
    <w:name w:val="Body Small Right"/>
    <w:basedOn w:val="BodyTextRight"/>
    <w:rsid w:val="00D9568F"/>
    <w:rPr>
      <w:sz w:val="18"/>
      <w:szCs w:val="18"/>
    </w:rPr>
  </w:style>
  <w:style w:type="paragraph" w:customStyle="1" w:styleId="MarginEdition">
    <w:name w:val="Margin Edition"/>
    <w:basedOn w:val="MarginNote"/>
    <w:rsid w:val="00D956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68F"/>
    <w:rPr>
      <w:sz w:val="2"/>
      <w:szCs w:val="2"/>
    </w:rPr>
  </w:style>
  <w:style w:type="character" w:customStyle="1" w:styleId="Small">
    <w:name w:val="Small"/>
    <w:basedOn w:val="DefaultParagraphFont"/>
    <w:rsid w:val="00D9568F"/>
    <w:rPr>
      <w:sz w:val="16"/>
    </w:rPr>
  </w:style>
  <w:style w:type="paragraph" w:customStyle="1" w:styleId="WideTable">
    <w:name w:val="Wide Table"/>
    <w:basedOn w:val="Normal"/>
    <w:rsid w:val="00D956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68F"/>
  </w:style>
  <w:style w:type="paragraph" w:styleId="Quote">
    <w:name w:val="Quote"/>
    <w:basedOn w:val="Heading1"/>
    <w:link w:val="QuoteChar"/>
    <w:qFormat/>
    <w:rsid w:val="00D956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6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68F"/>
    <w:pPr>
      <w:pageBreakBefore/>
    </w:pPr>
  </w:style>
  <w:style w:type="paragraph" w:customStyle="1" w:styleId="Border">
    <w:name w:val="Border"/>
    <w:basedOn w:val="Normal"/>
    <w:qFormat/>
    <w:rsid w:val="00D956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6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6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6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6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6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6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6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6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68F"/>
    <w:rPr>
      <w:u w:val="single"/>
    </w:rPr>
  </w:style>
  <w:style w:type="character" w:customStyle="1" w:styleId="BoldandItalics">
    <w:name w:val="Bold and Italics"/>
    <w:qFormat/>
    <w:rsid w:val="00D9568F"/>
    <w:rPr>
      <w:b/>
      <w:i/>
      <w:u w:val="none"/>
    </w:rPr>
  </w:style>
  <w:style w:type="paragraph" w:styleId="BalloonText">
    <w:name w:val="Balloon Text"/>
    <w:basedOn w:val="Normal"/>
    <w:link w:val="BalloonTextChar"/>
    <w:rsid w:val="00D956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6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6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6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6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6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68F"/>
    <w:pPr>
      <w:spacing w:before="0" w:after="0"/>
    </w:pPr>
  </w:style>
  <w:style w:type="paragraph" w:customStyle="1" w:styleId="BodyTextBold">
    <w:name w:val="Body Text Bold"/>
    <w:basedOn w:val="BodyText"/>
    <w:qFormat/>
    <w:rsid w:val="00D9568F"/>
    <w:rPr>
      <w:b/>
    </w:rPr>
  </w:style>
  <w:style w:type="character" w:styleId="Hyperlink">
    <w:name w:val="Hyperlink"/>
    <w:basedOn w:val="DefaultParagraphFont"/>
    <w:uiPriority w:val="99"/>
    <w:unhideWhenUsed/>
    <w:rsid w:val="00844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5160</Characters>
  <Application>Microsoft Office Word</Application>
  <DocSecurity>0</DocSecurity>
  <Lines>147</Lines>
  <Paragraphs>95</Paragraphs>
  <ScaleCrop>false</ScaleCrop>
  <Company>Author-it Software Corporation Ltd.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TLIU1013 Prepare for environmentally sustainable work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2025-03-02T00:45:00Z</dcterms:created>
  <dcterms:modified xsi:type="dcterms:W3CDTF">2025-03-02T00:45:00Z</dcterms:modified>
</cp:coreProperties>
</file>