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F2F" w:rsidP="003F3F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TLIS4007 Decommission mechanical signalling infrastructure and interlocking equipment from service</w:t>
      </w:r>
      <w:r>
        <w:fldChar w:fldCharType="end"/>
      </w:r>
    </w:p>
    <w:p w:rsidR="003F3F2F" w:rsidP="003F3F2F">
      <w:pPr>
        <w:pStyle w:val="Version"/>
        <w:sectPr w:rsidSect="00D467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7DC" w:rsidP="00D467DC">
      <w:pPr>
        <w:pStyle w:val="SuperHeading"/>
      </w:pPr>
      <w:r w:rsidRPr="00D467DC">
        <w:t>TLIS4007 Decommission mechanical signalling infrastructure and interlocking equipment from service</w:t>
      </w:r>
    </w:p>
    <w:p w:rsidR="00000000" w:rsidRPr="00D467DC" w:rsidP="00D467DC">
      <w:pPr>
        <w:pStyle w:val="Heading1"/>
      </w:pPr>
      <w:bookmarkStart w:id="1" w:name="O_755818"/>
      <w:bookmarkEnd w:id="1"/>
      <w:r w:rsidRPr="00D467DC">
        <w:t>Modification History</w:t>
      </w:r>
    </w:p>
    <w:p w:rsidR="003F3F2F" w:rsidP="003F3F2F">
      <w:pPr>
        <w:pStyle w:val="BodyText"/>
      </w:pPr>
      <w:r w:rsidRPr="00D467DC">
        <w:t>Release 1. This is the first release of this unit of competency in the TLI Transport and Logistics Training Package.</w:t>
      </w:r>
    </w:p>
    <w:p w:rsidR="00000000" w:rsidRPr="00D467DC" w:rsidP="00D467DC">
      <w:pPr>
        <w:pStyle w:val="Heading1"/>
      </w:pPr>
      <w:bookmarkStart w:id="2" w:name="O_755819"/>
      <w:bookmarkEnd w:id="2"/>
      <w:r w:rsidRPr="00D467DC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F3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DC" w:rsidP="00D467DC">
            <w:pPr>
              <w:pStyle w:val="BodyText"/>
            </w:pPr>
            <w:r w:rsidRPr="00D467DC">
              <w:t>This unit involves the skills and knowledge required to decommission mechanical signalling infrastructure equipment and interlocking equipment from service in accordance with safeworking and regulatory requirements, and workplac</w:t>
            </w:r>
            <w:r w:rsidRPr="00D467DC">
              <w:t>e procedures.</w:t>
            </w:r>
          </w:p>
          <w:p w:rsidR="00000000" w:rsidRPr="00D467DC" w:rsidP="00D467DC">
            <w:pPr>
              <w:pStyle w:val="BodyText"/>
            </w:pPr>
            <w:r w:rsidRPr="00D467DC">
              <w:t>It includes disconnecting mechanical/electromechanical equipment and components; modifying, testing and adjusting remaining equipment; and certifying and securing operational mechanical equipment in accordance with workplace requirements.</w:t>
            </w:r>
          </w:p>
          <w:p w:rsidR="00000000" w:rsidRPr="00D467DC" w:rsidP="00D467DC">
            <w:pPr>
              <w:pStyle w:val="BodyText"/>
            </w:pPr>
            <w:r w:rsidRPr="00D467DC">
              <w:t>Peo</w:t>
            </w:r>
            <w:r w:rsidRPr="00D467DC">
              <w:t>ple achieving competence in this unit will need to fulfil the applicable state/territory legislated rail safety requirements and to comply with relevant codes of practice and/or guidelines as they apply to decommissioning mechanical signalling infrastructu</w:t>
            </w:r>
            <w:r w:rsidRPr="00D467DC">
              <w:t>re and interlocking equipment from service.</w:t>
            </w:r>
          </w:p>
          <w:p w:rsidR="00000000" w:rsidRPr="00D467DC" w:rsidP="00D467DC">
            <w:pPr>
              <w:pStyle w:val="BodyText"/>
            </w:pPr>
            <w:r w:rsidRPr="00D467DC">
              <w:t>Work is performed under minimal supervision, generally within a team environment.</w:t>
            </w:r>
          </w:p>
          <w:p w:rsidR="00000000" w:rsidRPr="00D467DC" w:rsidP="00D467DC">
            <w:pPr>
              <w:pStyle w:val="BodyText"/>
            </w:pPr>
            <w:r w:rsidRPr="00D467DC">
              <w:t>It involves the application of routine operational principles and procedures when decommissioning mechanical signalling infrastruc</w:t>
            </w:r>
            <w:r w:rsidRPr="00D467DC">
              <w:t>ture equipment and interlocking equipment from service, as part of workplace activities across a variety of operational contexts within the Australian rail system.</w:t>
            </w:r>
          </w:p>
          <w:p w:rsidR="00000000" w:rsidRPr="00D467DC" w:rsidP="00D467DC">
            <w:pPr>
              <w:pStyle w:val="BodyText"/>
            </w:pPr>
            <w:r w:rsidRPr="00D467DC">
              <w:t>No licensing, legislative or certification requirements apply to this unit at the time of pu</w:t>
            </w:r>
            <w:r w:rsidRPr="00D467DC">
              <w:t>blication.</w:t>
            </w:r>
          </w:p>
        </w:tc>
      </w:tr>
    </w:tbl>
    <w:p w:rsidR="003F3F2F" w:rsidP="00D467DC">
      <w:pPr>
        <w:pStyle w:val="BodyText"/>
      </w:pPr>
    </w:p>
    <w:p w:rsidR="003F3F2F" w:rsidP="00D467DC">
      <w:pPr>
        <w:pStyle w:val="BodyText"/>
      </w:pPr>
    </w:p>
    <w:p w:rsidR="00000000" w:rsidRPr="00D467DC" w:rsidP="00D467DC">
      <w:pPr>
        <w:pStyle w:val="Heading1"/>
      </w:pPr>
      <w:bookmarkStart w:id="3" w:name="O_755820"/>
      <w:bookmarkEnd w:id="3"/>
      <w:r w:rsidRPr="00D467DC">
        <w:t>Pre-requisite Unit</w:t>
      </w:r>
    </w:p>
    <w:p w:rsidR="003F3F2F" w:rsidP="003F3F2F">
      <w:pPr>
        <w:pStyle w:val="BodyText"/>
      </w:pPr>
      <w:r w:rsidRPr="00D467DC">
        <w:t>Not applicable.</w:t>
      </w:r>
    </w:p>
    <w:p w:rsidR="00000000" w:rsidRPr="00D467DC" w:rsidP="00D467DC">
      <w:pPr>
        <w:pStyle w:val="Heading1"/>
      </w:pPr>
      <w:bookmarkStart w:id="4" w:name="O_755821"/>
      <w:bookmarkEnd w:id="4"/>
      <w:r w:rsidRPr="00D467DC">
        <w:t>Competency Field</w:t>
      </w:r>
    </w:p>
    <w:p w:rsidR="003F3F2F" w:rsidP="003F3F2F">
      <w:pPr>
        <w:pStyle w:val="BodyText"/>
      </w:pPr>
      <w:r w:rsidRPr="00D467DC">
        <w:t>S – Construction and Installation</w:t>
      </w:r>
    </w:p>
    <w:p w:rsidR="00000000" w:rsidRPr="00D467DC" w:rsidP="00D467DC">
      <w:pPr>
        <w:pStyle w:val="Heading1"/>
      </w:pPr>
      <w:bookmarkStart w:id="5" w:name="O_755822"/>
      <w:bookmarkEnd w:id="5"/>
      <w:r w:rsidRPr="00D467DC">
        <w:t>Unit Sector</w:t>
      </w:r>
    </w:p>
    <w:p w:rsidR="003F3F2F" w:rsidP="003F3F2F">
      <w:pPr>
        <w:pStyle w:val="BodyText"/>
      </w:pPr>
      <w:r w:rsidRPr="00D467DC">
        <w:t>Not applicable.</w:t>
      </w:r>
    </w:p>
    <w:p w:rsidR="00000000" w:rsidRPr="00D467DC" w:rsidP="00D467DC">
      <w:pPr>
        <w:pStyle w:val="Heading1"/>
      </w:pPr>
      <w:bookmarkStart w:id="6" w:name="O_755823"/>
      <w:bookmarkEnd w:id="6"/>
      <w:r w:rsidRPr="00D467D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3F3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C">
            <w:pPr>
              <w:pStyle w:val="BodyText"/>
              <w:rPr>
                <w:lang w:val="en-NZ"/>
              </w:rPr>
            </w:pPr>
            <w:r w:rsidRPr="00D467D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C">
            <w:pPr>
              <w:pStyle w:val="BodyText"/>
              <w:rPr>
                <w:lang w:val="en-NZ"/>
              </w:rPr>
            </w:pPr>
            <w:r w:rsidRPr="00D467DC">
              <w:t>Performance criteria describe the performance needed to demonstrate achievement of the element.</w:t>
            </w:r>
          </w:p>
        </w:tc>
      </w:tr>
      <w:tr w:rsidTr="003F3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DC" w:rsidP="00D467DC">
            <w:pPr>
              <w:pStyle w:val="BodyText"/>
            </w:pPr>
            <w:r w:rsidRPr="00D467D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C">
            <w:pPr>
              <w:pStyle w:val="BodyText"/>
              <w:rPr>
                <w:lang w:val="en-NZ"/>
              </w:rPr>
            </w:pPr>
            <w:r w:rsidRPr="00D467DC">
              <w:rPr>
                <w:rStyle w:val="SpecialBold"/>
              </w:rPr>
              <w:t>Disconnect mechanical/ interlocking equipment and components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C">
            <w:pPr>
              <w:pStyle w:val="BodyText"/>
              <w:rPr>
                <w:lang w:val="en-NZ"/>
              </w:rPr>
            </w:pPr>
            <w:r w:rsidRPr="00D467D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C">
            <w:pPr>
              <w:pStyle w:val="BodyText"/>
              <w:rPr>
                <w:lang w:val="en-NZ"/>
              </w:rPr>
            </w:pPr>
            <w:r w:rsidRPr="00D467DC">
              <w:t>Required authorisation is confirmed to ensure sa</w:t>
            </w:r>
            <w:r w:rsidRPr="00D467DC">
              <w:t>fe train operations may continue after mechanical/interlocking equipment components are disconnected</w:t>
            </w:r>
          </w:p>
        </w:tc>
      </w:tr>
      <w:tr w:rsidTr="003F3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C">
            <w:pPr>
              <w:pStyle w:val="BodyText"/>
              <w:rPr>
                <w:lang w:val="en-NZ"/>
              </w:rPr>
            </w:pPr>
            <w:r w:rsidRPr="00D467D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C">
            <w:pPr>
              <w:pStyle w:val="BodyText"/>
              <w:rPr>
                <w:lang w:val="en-NZ"/>
              </w:rPr>
            </w:pPr>
            <w:r w:rsidRPr="00D467DC">
              <w:t>Hazards are identified, risks are assessed and control measures are implemented</w:t>
            </w:r>
          </w:p>
        </w:tc>
      </w:tr>
      <w:tr w:rsidTr="003F3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C">
            <w:pPr>
              <w:pStyle w:val="BodyText"/>
              <w:rPr>
                <w:lang w:val="en-NZ"/>
              </w:rPr>
            </w:pPr>
            <w:r w:rsidRPr="00D467D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C">
            <w:pPr>
              <w:pStyle w:val="BodyText"/>
              <w:rPr>
                <w:lang w:val="en-NZ"/>
              </w:rPr>
            </w:pPr>
            <w:r w:rsidRPr="00D467DC">
              <w:t>Mechanical/interlocking equipment and components are prepared to enable ready removal</w:t>
            </w:r>
          </w:p>
        </w:tc>
      </w:tr>
      <w:tr w:rsidTr="003F3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C">
            <w:pPr>
              <w:pStyle w:val="BodyText"/>
              <w:rPr>
                <w:lang w:val="en-NZ"/>
              </w:rPr>
            </w:pPr>
            <w:r w:rsidRPr="00D467D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C">
            <w:pPr>
              <w:pStyle w:val="BodyText"/>
              <w:rPr>
                <w:lang w:val="en-NZ"/>
              </w:rPr>
            </w:pPr>
            <w:r w:rsidRPr="00D467DC">
              <w:t>Mechanical/interlocking equipment components are removed from operational area and area is made safe</w:t>
            </w:r>
          </w:p>
        </w:tc>
      </w:tr>
      <w:tr w:rsidTr="003F3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DC" w:rsidP="00D467DC">
            <w:pPr>
              <w:pStyle w:val="BodyText"/>
            </w:pPr>
            <w:r w:rsidRPr="00D467D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C">
            <w:pPr>
              <w:pStyle w:val="BodyText"/>
              <w:rPr>
                <w:lang w:val="en-NZ"/>
              </w:rPr>
            </w:pPr>
            <w:r w:rsidRPr="00D467DC">
              <w:rPr>
                <w:rStyle w:val="SpecialBold"/>
              </w:rPr>
              <w:t>Modify, test and adjust remaining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C">
            <w:pPr>
              <w:pStyle w:val="BodyText"/>
              <w:rPr>
                <w:lang w:val="en-NZ"/>
              </w:rPr>
            </w:pPr>
            <w:r w:rsidRPr="00D467D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C">
            <w:pPr>
              <w:pStyle w:val="BodyText"/>
              <w:rPr>
                <w:lang w:val="en-NZ"/>
              </w:rPr>
            </w:pPr>
            <w:r w:rsidRPr="00D467DC">
              <w:t>Remaining equipment is modified as necessary to ensure compliance with job specifications</w:t>
            </w:r>
          </w:p>
        </w:tc>
      </w:tr>
      <w:tr w:rsidTr="003F3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C">
            <w:pPr>
              <w:pStyle w:val="BodyText"/>
              <w:rPr>
                <w:lang w:val="en-NZ"/>
              </w:rPr>
            </w:pPr>
            <w:r w:rsidRPr="00D467D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C">
            <w:pPr>
              <w:pStyle w:val="BodyText"/>
              <w:rPr>
                <w:lang w:val="en-NZ"/>
              </w:rPr>
            </w:pPr>
            <w:r w:rsidRPr="00D467DC">
              <w:t>Correct test equipment and procedures are identified</w:t>
            </w:r>
          </w:p>
        </w:tc>
      </w:tr>
      <w:tr w:rsidTr="003F3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C">
            <w:pPr>
              <w:pStyle w:val="BodyText"/>
              <w:rPr>
                <w:lang w:val="en-NZ"/>
              </w:rPr>
            </w:pPr>
            <w:r w:rsidRPr="00D467D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C">
            <w:pPr>
              <w:pStyle w:val="BodyText"/>
              <w:rPr>
                <w:lang w:val="en-NZ"/>
              </w:rPr>
            </w:pPr>
            <w:r w:rsidRPr="00D467DC">
              <w:t>Appropriate tests are correctly carried out in conjunction with other personnel to ensure operation</w:t>
            </w:r>
            <w:r w:rsidRPr="00D467DC">
              <w:t>al compliance</w:t>
            </w:r>
          </w:p>
        </w:tc>
      </w:tr>
      <w:tr w:rsidTr="003F3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DC" w:rsidP="00D467DC">
            <w:pPr>
              <w:pStyle w:val="BodyText"/>
            </w:pPr>
            <w:r w:rsidRPr="00D467D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C">
            <w:pPr>
              <w:pStyle w:val="BodyText"/>
              <w:rPr>
                <w:lang w:val="en-NZ"/>
              </w:rPr>
            </w:pPr>
            <w:r w:rsidRPr="00D467DC">
              <w:rPr>
                <w:rStyle w:val="SpecialBold"/>
              </w:rPr>
              <w:t>Certify and secure operational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C">
            <w:pPr>
              <w:pStyle w:val="BodyText"/>
              <w:rPr>
                <w:lang w:val="en-NZ"/>
              </w:rPr>
            </w:pPr>
            <w:r w:rsidRPr="00D467D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C">
            <w:pPr>
              <w:pStyle w:val="BodyText"/>
              <w:rPr>
                <w:lang w:val="en-NZ"/>
              </w:rPr>
            </w:pPr>
            <w:r w:rsidRPr="00D467DC">
              <w:t>Operational readiness is confirmed and required documentation/certification is correctly completed and processed to allow for commissioning</w:t>
            </w:r>
          </w:p>
        </w:tc>
      </w:tr>
      <w:tr w:rsidTr="003F3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7DC">
            <w:pPr>
              <w:pStyle w:val="BodyText"/>
              <w:rPr>
                <w:lang w:val="en-NZ"/>
              </w:rPr>
            </w:pPr>
            <w:r w:rsidRPr="00D467D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DC" w:rsidP="00D467DC">
            <w:pPr>
              <w:pStyle w:val="BodyText"/>
            </w:pPr>
            <w:r w:rsidRPr="00D467DC">
              <w:t>Equipment is locked and secured to ensure against unauthorised interference</w:t>
            </w:r>
          </w:p>
        </w:tc>
      </w:tr>
    </w:tbl>
    <w:p w:rsidR="003F3F2F" w:rsidP="00D467DC">
      <w:pPr>
        <w:pStyle w:val="BodyText"/>
      </w:pPr>
    </w:p>
    <w:p w:rsidR="003F3F2F" w:rsidP="00D467DC">
      <w:pPr>
        <w:pStyle w:val="BodyText"/>
      </w:pPr>
    </w:p>
    <w:p w:rsidR="00000000" w:rsidRPr="00D467DC" w:rsidP="00D467DC">
      <w:pPr>
        <w:pStyle w:val="Heading1"/>
      </w:pPr>
      <w:bookmarkStart w:id="7" w:name="O_755824"/>
      <w:bookmarkEnd w:id="7"/>
      <w:r w:rsidRPr="00D467DC">
        <w:t>Foundation Skills</w:t>
      </w:r>
    </w:p>
    <w:p w:rsidR="003F3F2F" w:rsidP="003F3F2F">
      <w:pPr>
        <w:pStyle w:val="BodyText"/>
      </w:pPr>
      <w:r w:rsidRPr="00D467DC">
        <w:t>Foundation skills essential to performance are explicit in the performance criteria of this unit of competency.</w:t>
      </w:r>
    </w:p>
    <w:p w:rsidR="00000000" w:rsidRPr="00D467DC" w:rsidP="00D467DC">
      <w:pPr>
        <w:pStyle w:val="Heading1"/>
      </w:pPr>
      <w:bookmarkStart w:id="8" w:name="O_755825"/>
      <w:bookmarkEnd w:id="8"/>
      <w:r w:rsidRPr="00D467D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F3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7DC" w:rsidP="00D467DC">
            <w:pPr>
              <w:pStyle w:val="BodyText"/>
            </w:pPr>
            <w:r w:rsidRPr="00D467DC">
              <w:t>Range is restricted to essential operating conditions and any other variables essential to the work environment.</w:t>
            </w:r>
          </w:p>
          <w:p w:rsidR="00000000" w:rsidRPr="00D467DC" w:rsidP="00D467DC">
            <w:pPr>
              <w:pStyle w:val="BodyText"/>
            </w:pPr>
            <w:r w:rsidRPr="00D467DC">
              <w:t>Non-essential conditions can be found in the Companion Volume Implementation Guide.</w:t>
            </w:r>
          </w:p>
        </w:tc>
      </w:tr>
    </w:tbl>
    <w:p w:rsidR="003F3F2F" w:rsidP="00D467DC">
      <w:pPr>
        <w:pStyle w:val="BodyText"/>
      </w:pPr>
    </w:p>
    <w:p w:rsidR="003F3F2F" w:rsidP="00D467DC">
      <w:pPr>
        <w:pStyle w:val="BodyText"/>
      </w:pPr>
    </w:p>
    <w:p w:rsidR="00000000" w:rsidRPr="00D467DC" w:rsidP="00D467DC">
      <w:pPr>
        <w:pStyle w:val="Heading1"/>
      </w:pPr>
      <w:bookmarkStart w:id="9" w:name="O_755826"/>
      <w:bookmarkEnd w:id="9"/>
      <w:r w:rsidRPr="00D467DC">
        <w:t>Unit Mapping Inform</w:t>
      </w:r>
      <w:r w:rsidRPr="00D467DC">
        <w:t>ation</w:t>
      </w:r>
    </w:p>
    <w:p w:rsidR="003F3F2F" w:rsidP="003F3F2F">
      <w:pPr>
        <w:pStyle w:val="BodyText"/>
      </w:pPr>
      <w:r w:rsidRPr="00D467DC">
        <w:t>This unit replaces and is equivalent to TLIS4007A Decommission mechanical signalling infrastructure and interlocking equipment from service.</w:t>
      </w:r>
    </w:p>
    <w:p w:rsidR="00000000" w:rsidRPr="00D467DC" w:rsidP="00D467DC">
      <w:pPr>
        <w:pStyle w:val="Heading1"/>
      </w:pPr>
      <w:bookmarkStart w:id="10" w:name="O_755833"/>
      <w:bookmarkEnd w:id="10"/>
      <w:r w:rsidRPr="00D467DC">
        <w:t>Links</w:t>
      </w:r>
    </w:p>
    <w:p w:rsidR="00000000" w:rsidRPr="00D467DC" w:rsidP="003F3F2F">
      <w:pPr>
        <w:pStyle w:val="BodyText"/>
      </w:pPr>
      <w:r w:rsidRPr="00D467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5663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467DC" w:rsidP="00D467DC"/>
    <w:sectPr w:rsidSect="00D467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7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7DC" w:rsidRPr="003F3F2F" w:rsidP="003F3F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7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2F" w:rsidP="00D467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3F2F" w:rsidP="00D467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F3F2F" w:rsidP="00D467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7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7DC" w:rsidRPr="003F3F2F" w:rsidP="003F3F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7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2F" w:rsidRPr="002D2AF8" w:rsidP="00D467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TLIS4007 Decommission mechanical signalling infrastructure and interlocking equipment from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F3F2F" w:rsidP="00D467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7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7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7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7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7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7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7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7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7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7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7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7DC"/>
  </w:style>
  <w:style w:type="character" w:customStyle="1" w:styleId="Heading1Char">
    <w:name w:val="Heading 1 Char"/>
    <w:basedOn w:val="DefaultParagraphFont"/>
    <w:link w:val="Heading1"/>
    <w:rsid w:val="00D467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7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7D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467DC"/>
    <w:rPr>
      <w:b/>
      <w:spacing w:val="0"/>
    </w:rPr>
  </w:style>
  <w:style w:type="paragraph" w:customStyle="1" w:styleId="SuperHeading">
    <w:name w:val="SuperHeading"/>
    <w:basedOn w:val="Normal"/>
    <w:rsid w:val="00D467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7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67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7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7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7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7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7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7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7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7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7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7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7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7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7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7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67D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67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67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7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7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67D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67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7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7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7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7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7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7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7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7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67DC"/>
    <w:rPr>
      <w:i/>
    </w:rPr>
  </w:style>
  <w:style w:type="paragraph" w:styleId="Caption">
    <w:name w:val="caption"/>
    <w:basedOn w:val="BodyText"/>
    <w:next w:val="Normal"/>
    <w:qFormat/>
    <w:rsid w:val="00D467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7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7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7DC"/>
  </w:style>
  <w:style w:type="paragraph" w:styleId="TableofFigures">
    <w:name w:val="table of figures"/>
    <w:basedOn w:val="Normal"/>
    <w:next w:val="Normal"/>
    <w:semiHidden/>
    <w:rsid w:val="00D467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7D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67DC"/>
    <w:rPr>
      <w:rFonts w:ascii="Wingdings" w:hAnsi="Wingdings"/>
    </w:rPr>
  </w:style>
  <w:style w:type="paragraph" w:customStyle="1" w:styleId="TableHeading">
    <w:name w:val="Table Heading"/>
    <w:basedOn w:val="HeadingBase"/>
    <w:rsid w:val="00D467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7DC"/>
    <w:rPr>
      <w:color w:val="0033CC"/>
      <w:u w:val="none"/>
    </w:rPr>
  </w:style>
  <w:style w:type="paragraph" w:customStyle="1" w:styleId="BodyTextRight">
    <w:name w:val="Body Text Right"/>
    <w:basedOn w:val="BodyText"/>
    <w:rsid w:val="00D467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7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7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7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7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7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7DC"/>
    <w:rPr>
      <w:sz w:val="32"/>
    </w:rPr>
  </w:style>
  <w:style w:type="paragraph" w:customStyle="1" w:styleId="HeadingProcedure">
    <w:name w:val="Heading Procedure"/>
    <w:basedOn w:val="HeadingBase"/>
    <w:next w:val="Normal"/>
    <w:rsid w:val="00D467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7DC"/>
    <w:pPr>
      <w:spacing w:before="60" w:after="60"/>
    </w:pPr>
  </w:style>
  <w:style w:type="paragraph" w:styleId="ListContinue">
    <w:name w:val="List Continue"/>
    <w:basedOn w:val="List"/>
    <w:rsid w:val="00D467DC"/>
    <w:pPr>
      <w:ind w:firstLine="0"/>
    </w:pPr>
  </w:style>
  <w:style w:type="paragraph" w:customStyle="1" w:styleId="ListNote">
    <w:name w:val="List Note"/>
    <w:basedOn w:val="List"/>
    <w:rsid w:val="00D467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7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7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7DC"/>
    <w:rPr>
      <w:rFonts w:ascii="Courier New" w:hAnsi="Courier New"/>
    </w:rPr>
  </w:style>
  <w:style w:type="paragraph" w:customStyle="1" w:styleId="NoteBullet">
    <w:name w:val="Note Bullet"/>
    <w:basedOn w:val="Note"/>
    <w:rsid w:val="00D467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7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7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7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7D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67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7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7DC"/>
    <w:rPr>
      <w:b/>
      <w:smallCaps/>
    </w:rPr>
  </w:style>
  <w:style w:type="paragraph" w:customStyle="1" w:styleId="TableListNumber">
    <w:name w:val="Table List Number"/>
    <w:basedOn w:val="ListNumber"/>
    <w:rsid w:val="00D467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7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7DC"/>
    <w:pPr>
      <w:numPr>
        <w:numId w:val="7"/>
      </w:numPr>
    </w:pPr>
  </w:style>
  <w:style w:type="paragraph" w:customStyle="1" w:styleId="ListAlpha2">
    <w:name w:val="List Alpha 2"/>
    <w:basedOn w:val="List2"/>
    <w:rsid w:val="00D467DC"/>
    <w:pPr>
      <w:numPr>
        <w:numId w:val="6"/>
      </w:numPr>
    </w:pPr>
  </w:style>
  <w:style w:type="paragraph" w:styleId="List2">
    <w:name w:val="List 2"/>
    <w:basedOn w:val="BodyText"/>
    <w:rsid w:val="00D467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7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7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7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7D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7D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67DC"/>
    <w:pPr>
      <w:numPr>
        <w:numId w:val="2"/>
      </w:numPr>
    </w:pPr>
  </w:style>
  <w:style w:type="paragraph" w:styleId="ListContinue2">
    <w:name w:val="List Continue 2"/>
    <w:basedOn w:val="List2"/>
    <w:rsid w:val="00D467DC"/>
    <w:pPr>
      <w:ind w:firstLine="0"/>
    </w:pPr>
  </w:style>
  <w:style w:type="paragraph" w:styleId="ListContinue3">
    <w:name w:val="List Continue 3"/>
    <w:basedOn w:val="List3"/>
    <w:rsid w:val="00D467DC"/>
    <w:pPr>
      <w:ind w:left="1021" w:firstLine="0"/>
    </w:pPr>
  </w:style>
  <w:style w:type="paragraph" w:styleId="ListContinue4">
    <w:name w:val="List Continue 4"/>
    <w:basedOn w:val="List4"/>
    <w:rsid w:val="00D467DC"/>
    <w:pPr>
      <w:ind w:firstLine="0"/>
    </w:pPr>
  </w:style>
  <w:style w:type="paragraph" w:styleId="ListContinue5">
    <w:name w:val="List Continue 5"/>
    <w:basedOn w:val="List5"/>
    <w:rsid w:val="00D467DC"/>
    <w:pPr>
      <w:ind w:firstLine="0"/>
    </w:pPr>
  </w:style>
  <w:style w:type="paragraph" w:styleId="ListNumber3">
    <w:name w:val="List Number 3"/>
    <w:basedOn w:val="List3"/>
    <w:rsid w:val="00D467DC"/>
    <w:pPr>
      <w:numPr>
        <w:numId w:val="3"/>
      </w:numPr>
    </w:pPr>
  </w:style>
  <w:style w:type="paragraph" w:styleId="ListNumber4">
    <w:name w:val="List Number 4"/>
    <w:basedOn w:val="List4"/>
    <w:rsid w:val="00D467DC"/>
    <w:pPr>
      <w:numPr>
        <w:numId w:val="4"/>
      </w:numPr>
    </w:pPr>
  </w:style>
  <w:style w:type="paragraph" w:styleId="ListNumber5">
    <w:name w:val="List Number 5"/>
    <w:basedOn w:val="List5"/>
    <w:rsid w:val="00D467DC"/>
    <w:pPr>
      <w:numPr>
        <w:numId w:val="5"/>
      </w:numPr>
    </w:pPr>
  </w:style>
  <w:style w:type="paragraph" w:styleId="BlockText">
    <w:name w:val="Block Text"/>
    <w:basedOn w:val="Normal"/>
    <w:rsid w:val="00D467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7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7DC"/>
    <w:rPr>
      <w:sz w:val="16"/>
      <w:vertAlign w:val="superscript"/>
    </w:rPr>
  </w:style>
  <w:style w:type="character" w:customStyle="1" w:styleId="Symbols">
    <w:name w:val="Symbols"/>
    <w:basedOn w:val="DefaultParagraphFont"/>
    <w:rsid w:val="00D467DC"/>
    <w:rPr>
      <w:rFonts w:ascii="Symbol" w:hAnsi="Symbol"/>
    </w:rPr>
  </w:style>
  <w:style w:type="character" w:customStyle="1" w:styleId="MenuOptions">
    <w:name w:val="Menu Options"/>
    <w:basedOn w:val="DefaultParagraphFont"/>
    <w:rsid w:val="00D467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7DC"/>
    <w:rPr>
      <w:b/>
    </w:rPr>
  </w:style>
  <w:style w:type="character" w:customStyle="1" w:styleId="Underlined">
    <w:name w:val="Underlined"/>
    <w:basedOn w:val="DefaultParagraphFont"/>
    <w:rsid w:val="00D467DC"/>
    <w:rPr>
      <w:u w:val="single"/>
    </w:rPr>
  </w:style>
  <w:style w:type="paragraph" w:customStyle="1" w:styleId="TableBodyTextRight">
    <w:name w:val="Table Body Text Right"/>
    <w:basedOn w:val="TableBodyText"/>
    <w:rsid w:val="00D467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7DC"/>
    <w:rPr>
      <w:sz w:val="18"/>
    </w:rPr>
  </w:style>
  <w:style w:type="paragraph" w:customStyle="1" w:styleId="BodySmallRight">
    <w:name w:val="Body Small Right"/>
    <w:basedOn w:val="BodyTextRight"/>
    <w:rsid w:val="00D467DC"/>
    <w:rPr>
      <w:sz w:val="18"/>
      <w:szCs w:val="18"/>
    </w:rPr>
  </w:style>
  <w:style w:type="paragraph" w:customStyle="1" w:styleId="MarginEdition">
    <w:name w:val="Margin Edition"/>
    <w:basedOn w:val="MarginNote"/>
    <w:rsid w:val="00D467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7DC"/>
    <w:rPr>
      <w:sz w:val="2"/>
      <w:szCs w:val="2"/>
    </w:rPr>
  </w:style>
  <w:style w:type="character" w:customStyle="1" w:styleId="Small">
    <w:name w:val="Small"/>
    <w:basedOn w:val="DefaultParagraphFont"/>
    <w:rsid w:val="00D467DC"/>
    <w:rPr>
      <w:sz w:val="16"/>
    </w:rPr>
  </w:style>
  <w:style w:type="paragraph" w:customStyle="1" w:styleId="WideTable">
    <w:name w:val="Wide Table"/>
    <w:basedOn w:val="Normal"/>
    <w:rsid w:val="00D467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7DC"/>
  </w:style>
  <w:style w:type="paragraph" w:styleId="Quote">
    <w:name w:val="Quote"/>
    <w:basedOn w:val="Heading1"/>
    <w:link w:val="QuoteChar"/>
    <w:qFormat/>
    <w:rsid w:val="00D467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7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7DC"/>
    <w:pPr>
      <w:pageBreakBefore/>
    </w:pPr>
  </w:style>
  <w:style w:type="paragraph" w:customStyle="1" w:styleId="Border">
    <w:name w:val="Border"/>
    <w:basedOn w:val="Normal"/>
    <w:qFormat/>
    <w:rsid w:val="00D467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7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7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7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7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7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7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7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7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7DC"/>
    <w:rPr>
      <w:u w:val="single"/>
    </w:rPr>
  </w:style>
  <w:style w:type="character" w:customStyle="1" w:styleId="BoldandItalics">
    <w:name w:val="Bold and Italics"/>
    <w:qFormat/>
    <w:rsid w:val="00D467DC"/>
    <w:rPr>
      <w:b/>
      <w:i/>
      <w:u w:val="none"/>
    </w:rPr>
  </w:style>
  <w:style w:type="paragraph" w:styleId="BalloonText">
    <w:name w:val="Balloon Text"/>
    <w:basedOn w:val="Normal"/>
    <w:link w:val="BalloonTextChar"/>
    <w:rsid w:val="00D467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7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7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7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7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7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7DC"/>
    <w:pPr>
      <w:spacing w:before="0" w:after="0"/>
    </w:pPr>
  </w:style>
  <w:style w:type="paragraph" w:customStyle="1" w:styleId="BodyTextBold">
    <w:name w:val="Body Text Bold"/>
    <w:basedOn w:val="BodyText"/>
    <w:qFormat/>
    <w:rsid w:val="00D467DC"/>
    <w:rPr>
      <w:b/>
    </w:rPr>
  </w:style>
  <w:style w:type="character" w:styleId="Hyperlink">
    <w:name w:val="Hyperlink"/>
    <w:basedOn w:val="DefaultParagraphFont"/>
    <w:uiPriority w:val="99"/>
    <w:unhideWhenUsed/>
    <w:rsid w:val="003F3F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481</Words>
  <Characters>3369</Characters>
  <Application>Microsoft Office Word</Application>
  <DocSecurity>0</DocSecurity>
  <Lines>116</Lines>
  <Paragraphs>64</Paragraphs>
  <ScaleCrop>false</ScaleCrop>
  <Company>Author-it Software Corporation Ltd.</Company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TLIS4007 Decommission mechanical signalling infrastructure and interlocking equipment from service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2024-07-12T07:55:00Z</dcterms:created>
  <dcterms:modified xsi:type="dcterms:W3CDTF">2024-07-12T07:55:00Z</dcterms:modified>
</cp:coreProperties>
</file>