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B69" w:rsidP="00703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TLIS3040 Construct concrete or steel points and crossings</w:t>
      </w:r>
      <w:r>
        <w:fldChar w:fldCharType="end"/>
      </w:r>
    </w:p>
    <w:p w:rsidR="00703B69" w:rsidP="00703B69">
      <w:pPr>
        <w:pStyle w:val="Version"/>
        <w:sectPr w:rsidSect="001511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1D6" w:rsidP="001511D6">
      <w:pPr>
        <w:pStyle w:val="SuperHeading"/>
      </w:pPr>
      <w:r w:rsidRPr="001511D6">
        <w:t>TLIS3040 Construct concrete or steel points and crossings</w:t>
      </w:r>
    </w:p>
    <w:p w:rsidR="00000000" w:rsidRPr="001511D6" w:rsidP="001511D6">
      <w:pPr>
        <w:pStyle w:val="Heading1"/>
      </w:pPr>
      <w:bookmarkStart w:id="1" w:name="O_753776"/>
      <w:bookmarkEnd w:id="1"/>
      <w:r w:rsidRPr="001511D6">
        <w:t>Modification History</w:t>
      </w:r>
    </w:p>
    <w:p w:rsidR="00703B69" w:rsidP="00703B69">
      <w:pPr>
        <w:pStyle w:val="BodyText"/>
      </w:pPr>
      <w:r w:rsidRPr="001511D6">
        <w:t>Release 1. This is the first release of this unit of competency in the TLI Transport and Logistics Training Package.</w:t>
      </w:r>
    </w:p>
    <w:p w:rsidR="00000000" w:rsidRPr="001511D6" w:rsidP="001511D6">
      <w:pPr>
        <w:pStyle w:val="Heading1"/>
      </w:pPr>
      <w:bookmarkStart w:id="2" w:name="O_753777"/>
      <w:bookmarkEnd w:id="2"/>
      <w:r w:rsidRPr="001511D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03B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D6" w:rsidP="001511D6">
            <w:pPr>
              <w:pStyle w:val="BodyText"/>
            </w:pPr>
            <w:r w:rsidRPr="001511D6">
              <w:t>This unit involves the skills and knowledge required to construct points</w:t>
            </w:r>
            <w:r w:rsidRPr="001511D6">
              <w:t xml:space="preserve"> and crossings with concrete or steel bearers as part of a construction team, in accordance with rail industry standards, safeworking and regulatory requirements, and workplace procedures.</w:t>
            </w:r>
          </w:p>
          <w:p w:rsidR="00000000" w:rsidRPr="001511D6" w:rsidP="001511D6">
            <w:pPr>
              <w:pStyle w:val="BodyText"/>
            </w:pPr>
            <w:r w:rsidRPr="001511D6">
              <w:t xml:space="preserve">It includes preparing for construction work, carrying out relevant </w:t>
            </w:r>
            <w:r w:rsidRPr="001511D6">
              <w:t>construction work, preparing points and crossings for transport, and completing required documentation.</w:t>
            </w:r>
          </w:p>
          <w:p w:rsidR="00000000" w:rsidRPr="001511D6" w:rsidP="001511D6">
            <w:pPr>
              <w:pStyle w:val="BodyText"/>
            </w:pPr>
            <w:r w:rsidRPr="001511D6">
              <w:t>People achieving competence in this unit will need to fulfil the applicable state/territory legislated rail safety requirements and to comply with relev</w:t>
            </w:r>
            <w:r w:rsidRPr="001511D6">
              <w:t>ant codes of practice and/or guidelines.</w:t>
            </w:r>
          </w:p>
          <w:p w:rsidR="00000000" w:rsidRPr="001511D6" w:rsidP="001511D6">
            <w:pPr>
              <w:pStyle w:val="BodyText"/>
            </w:pPr>
            <w:r w:rsidRPr="001511D6">
              <w:t>The unit involves the application of routine operational principles and procedures when constructing points and crossings on concrete or steel bearers, as part of workplace activities across a variety of operational</w:t>
            </w:r>
            <w:r w:rsidRPr="001511D6">
              <w:t xml:space="preserve"> contexts within the Australian rail system.</w:t>
            </w:r>
          </w:p>
          <w:p w:rsidR="00000000" w:rsidRPr="001511D6" w:rsidP="001511D6">
            <w:pPr>
              <w:pStyle w:val="BodyText"/>
            </w:pPr>
            <w:r w:rsidRPr="001511D6">
              <w:t>No licensing, legislative or certification requirements apply to this unit at the time of publication.</w:t>
            </w:r>
          </w:p>
        </w:tc>
      </w:tr>
    </w:tbl>
    <w:p w:rsidR="00703B69" w:rsidP="001511D6">
      <w:pPr>
        <w:pStyle w:val="BodyText"/>
      </w:pPr>
    </w:p>
    <w:p w:rsidR="00703B69" w:rsidP="001511D6">
      <w:pPr>
        <w:pStyle w:val="BodyText"/>
      </w:pPr>
    </w:p>
    <w:p w:rsidR="00000000" w:rsidRPr="001511D6" w:rsidP="001511D6">
      <w:pPr>
        <w:pStyle w:val="Heading1"/>
      </w:pPr>
      <w:bookmarkStart w:id="3" w:name="O_753778"/>
      <w:bookmarkEnd w:id="3"/>
      <w:r w:rsidRPr="001511D6">
        <w:t>Pre-requisite Unit</w:t>
      </w:r>
    </w:p>
    <w:p w:rsidR="00703B69" w:rsidP="00703B69">
      <w:pPr>
        <w:pStyle w:val="BodyText"/>
      </w:pPr>
      <w:r w:rsidRPr="001511D6">
        <w:t>Not applicable.</w:t>
      </w:r>
    </w:p>
    <w:p w:rsidR="00000000" w:rsidRPr="001511D6" w:rsidP="001511D6">
      <w:pPr>
        <w:pStyle w:val="Heading1"/>
      </w:pPr>
      <w:bookmarkStart w:id="4" w:name="O_753779"/>
      <w:bookmarkEnd w:id="4"/>
      <w:r w:rsidRPr="001511D6">
        <w:t>Competency Field</w:t>
      </w:r>
    </w:p>
    <w:p w:rsidR="00703B69" w:rsidP="00703B69">
      <w:pPr>
        <w:pStyle w:val="BodyText"/>
      </w:pPr>
      <w:r w:rsidRPr="001511D6">
        <w:t>S – Construction a</w:t>
      </w:r>
      <w:r w:rsidRPr="001511D6">
        <w:t>nd Installation</w:t>
      </w:r>
    </w:p>
    <w:p w:rsidR="00000000" w:rsidRPr="001511D6" w:rsidP="001511D6">
      <w:pPr>
        <w:pStyle w:val="Heading1"/>
      </w:pPr>
      <w:bookmarkStart w:id="5" w:name="O_753780"/>
      <w:bookmarkEnd w:id="5"/>
      <w:r w:rsidRPr="001511D6">
        <w:t>Unit Sector</w:t>
      </w:r>
    </w:p>
    <w:p w:rsidR="00703B69" w:rsidP="00703B69">
      <w:pPr>
        <w:pStyle w:val="BodyText"/>
      </w:pPr>
      <w:r w:rsidRPr="001511D6">
        <w:t>Not applicable.</w:t>
      </w:r>
    </w:p>
    <w:p w:rsidR="00000000" w:rsidRPr="001511D6" w:rsidP="001511D6">
      <w:pPr>
        <w:pStyle w:val="Heading1"/>
      </w:pPr>
      <w:bookmarkStart w:id="6" w:name="O_753781"/>
      <w:bookmarkEnd w:id="6"/>
      <w:r w:rsidRPr="001511D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Performance criteria describe the performance needed to demonstrate achievement of the element.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D6" w:rsidP="001511D6">
            <w:pPr>
              <w:pStyle w:val="BodyText"/>
            </w:pPr>
            <w:r w:rsidRPr="001511D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rPr>
                <w:rStyle w:val="SpecialBold"/>
              </w:rPr>
              <w:t>Prepare points and crossings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Work requirements are determined to identify scope of work and resources required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Construction design or plan is obtained and interpreted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Hazards are identified, risks are assessed and control measures are implemented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Required resources are acquired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Assembly area is prepared or identified in accordance with workplace procedures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Delivered materials are checked for compliance with design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D6" w:rsidP="001511D6">
            <w:pPr>
              <w:pStyle w:val="BodyText"/>
            </w:pPr>
            <w:r w:rsidRPr="001511D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rPr>
                <w:rStyle w:val="SpecialBold"/>
              </w:rPr>
              <w:t>Assemble points and crossings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 xml:space="preserve">Construction design or plan is implemented in accordance with manufacturer instructions and workplace procedures 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Unsuitable points and crossings equipment replacements are sourced as required, in accordance with workplace procedures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Dimensions, geometry and condition of points and crossings are checked for compliance with design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Non compliances are repa</w:t>
            </w:r>
            <w:r w:rsidRPr="001511D6">
              <w:t>ired or replaced as required in accordance with workplace procedures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D6" w:rsidP="001511D6">
            <w:pPr>
              <w:pStyle w:val="BodyText"/>
            </w:pPr>
            <w:r w:rsidRPr="001511D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rPr>
                <w:rStyle w:val="SpecialBold"/>
              </w:rPr>
              <w:t>Prepare points and crossings for transport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Transport requirements are confirmed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Transport requirements are followed in accordance with manufacturer instructions and workplace procedures</w:t>
            </w:r>
          </w:p>
        </w:tc>
      </w:tr>
      <w:tr w:rsidTr="00703B6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D6">
            <w:pPr>
              <w:pStyle w:val="BodyText"/>
              <w:rPr>
                <w:lang w:val="en-NZ"/>
              </w:rPr>
            </w:pPr>
            <w:r w:rsidRPr="001511D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D6" w:rsidP="001511D6">
            <w:pPr>
              <w:pStyle w:val="BodyText"/>
            </w:pPr>
            <w:r w:rsidRPr="001511D6">
              <w:t>Documentation is completed and processed in accordance with workplace procedures</w:t>
            </w:r>
          </w:p>
        </w:tc>
      </w:tr>
    </w:tbl>
    <w:p w:rsidR="00703B69" w:rsidP="001511D6">
      <w:pPr>
        <w:pStyle w:val="BodyText"/>
      </w:pPr>
    </w:p>
    <w:p w:rsidR="00703B69" w:rsidP="001511D6">
      <w:pPr>
        <w:pStyle w:val="BodyText"/>
      </w:pPr>
    </w:p>
    <w:p w:rsidR="00000000" w:rsidRPr="001511D6" w:rsidP="001511D6">
      <w:pPr>
        <w:pStyle w:val="Heading1"/>
      </w:pPr>
      <w:bookmarkStart w:id="7" w:name="O_753782"/>
      <w:bookmarkEnd w:id="7"/>
      <w:r w:rsidRPr="001511D6">
        <w:t>Foundation Skills</w:t>
      </w:r>
    </w:p>
    <w:p w:rsidR="00703B69" w:rsidP="00703B69">
      <w:pPr>
        <w:pStyle w:val="BodyText"/>
      </w:pPr>
      <w:r w:rsidRPr="001511D6">
        <w:t>Foundation skills essential to performance are explicit in the performance criteria of this unit of competency.</w:t>
      </w:r>
    </w:p>
    <w:p w:rsidR="00000000" w:rsidRPr="001511D6" w:rsidP="001511D6">
      <w:pPr>
        <w:pStyle w:val="Heading1"/>
      </w:pPr>
      <w:bookmarkStart w:id="8" w:name="O_753783"/>
      <w:bookmarkEnd w:id="8"/>
      <w:r w:rsidRPr="001511D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03B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D6" w:rsidP="001511D6">
            <w:pPr>
              <w:pStyle w:val="BodyText"/>
            </w:pPr>
            <w:r w:rsidRPr="001511D6">
              <w:t>Range is restricted to essential operating conditions and any other variables essential to the work enviro</w:t>
            </w:r>
            <w:r w:rsidRPr="001511D6">
              <w:t>nment.</w:t>
            </w:r>
          </w:p>
          <w:p w:rsidR="00000000" w:rsidRPr="001511D6" w:rsidP="001511D6">
            <w:pPr>
              <w:pStyle w:val="BodyText"/>
            </w:pPr>
            <w:r w:rsidRPr="001511D6">
              <w:t>Non-essential conditions can be found in the Companion Volume Implementation Guide.</w:t>
            </w:r>
          </w:p>
        </w:tc>
      </w:tr>
    </w:tbl>
    <w:p w:rsidR="00703B69" w:rsidP="001511D6">
      <w:pPr>
        <w:pStyle w:val="BodyText"/>
      </w:pPr>
    </w:p>
    <w:p w:rsidR="00703B69" w:rsidP="001511D6">
      <w:pPr>
        <w:pStyle w:val="BodyText"/>
      </w:pPr>
    </w:p>
    <w:p w:rsidR="00000000" w:rsidRPr="001511D6" w:rsidP="001511D6">
      <w:pPr>
        <w:pStyle w:val="Heading1"/>
      </w:pPr>
      <w:bookmarkStart w:id="9" w:name="O_753784"/>
      <w:bookmarkEnd w:id="9"/>
      <w:r w:rsidRPr="001511D6">
        <w:t>Unit Mapping Information</w:t>
      </w:r>
    </w:p>
    <w:p w:rsidR="00703B69" w:rsidP="00703B69">
      <w:pPr>
        <w:pStyle w:val="BodyText"/>
      </w:pPr>
      <w:r w:rsidRPr="001511D6">
        <w:t>This unit replaces and is equivalent to TLIS3040A Construct concrete or steel points and crossings.</w:t>
      </w:r>
    </w:p>
    <w:p w:rsidR="00000000" w:rsidRPr="001511D6" w:rsidP="001511D6">
      <w:pPr>
        <w:pStyle w:val="Heading1"/>
      </w:pPr>
      <w:bookmarkStart w:id="10" w:name="O_753791"/>
      <w:bookmarkEnd w:id="10"/>
      <w:r w:rsidRPr="001511D6">
        <w:t>Links</w:t>
      </w:r>
    </w:p>
    <w:p w:rsidR="00000000" w:rsidRPr="001511D6" w:rsidP="00703B69">
      <w:pPr>
        <w:pStyle w:val="BodyText"/>
      </w:pPr>
      <w:r w:rsidRPr="001511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70E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511D6" w:rsidP="001511D6"/>
    <w:sectPr w:rsidSect="001511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D6" w:rsidRPr="00703B69" w:rsidP="00703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69" w:rsidP="00151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B69" w:rsidP="00151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3B69" w:rsidP="001511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1D6" w:rsidRPr="00703B69" w:rsidP="00703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69" w:rsidRPr="002D2AF8" w:rsidP="00151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TLIS3040 Construct concrete or steel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703B69" w:rsidP="001511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1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1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1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1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1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1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1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1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1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1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1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1D6"/>
  </w:style>
  <w:style w:type="character" w:customStyle="1" w:styleId="Heading1Char">
    <w:name w:val="Heading 1 Char"/>
    <w:basedOn w:val="DefaultParagraphFont"/>
    <w:link w:val="Heading1"/>
    <w:rsid w:val="001511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1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1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11D6"/>
    <w:rPr>
      <w:b/>
      <w:spacing w:val="0"/>
    </w:rPr>
  </w:style>
  <w:style w:type="paragraph" w:customStyle="1" w:styleId="SuperHeading">
    <w:name w:val="SuperHeading"/>
    <w:basedOn w:val="Normal"/>
    <w:rsid w:val="001511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1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1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1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1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1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1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1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1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1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1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1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1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1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1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1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1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1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11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1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1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1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1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1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1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1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1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1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1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1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1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1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1D6"/>
    <w:rPr>
      <w:i/>
    </w:rPr>
  </w:style>
  <w:style w:type="paragraph" w:styleId="Caption">
    <w:name w:val="caption"/>
    <w:basedOn w:val="BodyText"/>
    <w:next w:val="Normal"/>
    <w:qFormat/>
    <w:rsid w:val="001511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1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1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1D6"/>
  </w:style>
  <w:style w:type="paragraph" w:styleId="TableofFigures">
    <w:name w:val="table of figures"/>
    <w:basedOn w:val="Normal"/>
    <w:next w:val="Normal"/>
    <w:semiHidden/>
    <w:rsid w:val="001511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1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11D6"/>
    <w:rPr>
      <w:rFonts w:ascii="Wingdings" w:hAnsi="Wingdings"/>
    </w:rPr>
  </w:style>
  <w:style w:type="paragraph" w:customStyle="1" w:styleId="TableHeading">
    <w:name w:val="Table Heading"/>
    <w:basedOn w:val="HeadingBase"/>
    <w:rsid w:val="001511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1D6"/>
    <w:rPr>
      <w:color w:val="0033CC"/>
      <w:u w:val="none"/>
    </w:rPr>
  </w:style>
  <w:style w:type="paragraph" w:customStyle="1" w:styleId="BodyTextRight">
    <w:name w:val="Body Text Right"/>
    <w:basedOn w:val="BodyText"/>
    <w:rsid w:val="001511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1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1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1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1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1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1D6"/>
    <w:rPr>
      <w:sz w:val="32"/>
    </w:rPr>
  </w:style>
  <w:style w:type="paragraph" w:customStyle="1" w:styleId="HeadingProcedure">
    <w:name w:val="Heading Procedure"/>
    <w:basedOn w:val="HeadingBase"/>
    <w:next w:val="Normal"/>
    <w:rsid w:val="001511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1D6"/>
    <w:pPr>
      <w:spacing w:before="60" w:after="60"/>
    </w:pPr>
  </w:style>
  <w:style w:type="paragraph" w:styleId="ListContinue">
    <w:name w:val="List Continue"/>
    <w:basedOn w:val="List"/>
    <w:rsid w:val="001511D6"/>
    <w:pPr>
      <w:ind w:firstLine="0"/>
    </w:pPr>
  </w:style>
  <w:style w:type="paragraph" w:customStyle="1" w:styleId="ListNote">
    <w:name w:val="List Note"/>
    <w:basedOn w:val="List"/>
    <w:rsid w:val="001511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1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1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1D6"/>
    <w:rPr>
      <w:rFonts w:ascii="Courier New" w:hAnsi="Courier New"/>
    </w:rPr>
  </w:style>
  <w:style w:type="paragraph" w:customStyle="1" w:styleId="NoteBullet">
    <w:name w:val="Note Bullet"/>
    <w:basedOn w:val="Note"/>
    <w:rsid w:val="001511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1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1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1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1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11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1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1D6"/>
    <w:rPr>
      <w:b/>
      <w:smallCaps/>
    </w:rPr>
  </w:style>
  <w:style w:type="paragraph" w:customStyle="1" w:styleId="TableListNumber">
    <w:name w:val="Table List Number"/>
    <w:basedOn w:val="ListNumber"/>
    <w:rsid w:val="001511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1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1D6"/>
    <w:pPr>
      <w:numPr>
        <w:numId w:val="7"/>
      </w:numPr>
    </w:pPr>
  </w:style>
  <w:style w:type="paragraph" w:customStyle="1" w:styleId="ListAlpha2">
    <w:name w:val="List Alpha 2"/>
    <w:basedOn w:val="List2"/>
    <w:rsid w:val="001511D6"/>
    <w:pPr>
      <w:numPr>
        <w:numId w:val="6"/>
      </w:numPr>
    </w:pPr>
  </w:style>
  <w:style w:type="paragraph" w:styleId="List2">
    <w:name w:val="List 2"/>
    <w:basedOn w:val="BodyText"/>
    <w:rsid w:val="001511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1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1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1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1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1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11D6"/>
    <w:pPr>
      <w:numPr>
        <w:numId w:val="2"/>
      </w:numPr>
    </w:pPr>
  </w:style>
  <w:style w:type="paragraph" w:styleId="ListContinue2">
    <w:name w:val="List Continue 2"/>
    <w:basedOn w:val="List2"/>
    <w:rsid w:val="001511D6"/>
    <w:pPr>
      <w:ind w:firstLine="0"/>
    </w:pPr>
  </w:style>
  <w:style w:type="paragraph" w:styleId="ListContinue3">
    <w:name w:val="List Continue 3"/>
    <w:basedOn w:val="List3"/>
    <w:rsid w:val="001511D6"/>
    <w:pPr>
      <w:ind w:left="1021" w:firstLine="0"/>
    </w:pPr>
  </w:style>
  <w:style w:type="paragraph" w:styleId="ListContinue4">
    <w:name w:val="List Continue 4"/>
    <w:basedOn w:val="List4"/>
    <w:rsid w:val="001511D6"/>
    <w:pPr>
      <w:ind w:firstLine="0"/>
    </w:pPr>
  </w:style>
  <w:style w:type="paragraph" w:styleId="ListContinue5">
    <w:name w:val="List Continue 5"/>
    <w:basedOn w:val="List5"/>
    <w:rsid w:val="001511D6"/>
    <w:pPr>
      <w:ind w:firstLine="0"/>
    </w:pPr>
  </w:style>
  <w:style w:type="paragraph" w:styleId="ListNumber3">
    <w:name w:val="List Number 3"/>
    <w:basedOn w:val="List3"/>
    <w:rsid w:val="001511D6"/>
    <w:pPr>
      <w:numPr>
        <w:numId w:val="3"/>
      </w:numPr>
    </w:pPr>
  </w:style>
  <w:style w:type="paragraph" w:styleId="ListNumber4">
    <w:name w:val="List Number 4"/>
    <w:basedOn w:val="List4"/>
    <w:rsid w:val="001511D6"/>
    <w:pPr>
      <w:numPr>
        <w:numId w:val="4"/>
      </w:numPr>
    </w:pPr>
  </w:style>
  <w:style w:type="paragraph" w:styleId="ListNumber5">
    <w:name w:val="List Number 5"/>
    <w:basedOn w:val="List5"/>
    <w:rsid w:val="001511D6"/>
    <w:pPr>
      <w:numPr>
        <w:numId w:val="5"/>
      </w:numPr>
    </w:pPr>
  </w:style>
  <w:style w:type="paragraph" w:styleId="BlockText">
    <w:name w:val="Block Text"/>
    <w:basedOn w:val="Normal"/>
    <w:rsid w:val="001511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1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1D6"/>
    <w:rPr>
      <w:sz w:val="16"/>
      <w:vertAlign w:val="superscript"/>
    </w:rPr>
  </w:style>
  <w:style w:type="character" w:customStyle="1" w:styleId="Symbols">
    <w:name w:val="Symbols"/>
    <w:basedOn w:val="DefaultParagraphFont"/>
    <w:rsid w:val="001511D6"/>
    <w:rPr>
      <w:rFonts w:ascii="Symbol" w:hAnsi="Symbol"/>
    </w:rPr>
  </w:style>
  <w:style w:type="character" w:customStyle="1" w:styleId="MenuOptions">
    <w:name w:val="Menu Options"/>
    <w:basedOn w:val="DefaultParagraphFont"/>
    <w:rsid w:val="001511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1D6"/>
    <w:rPr>
      <w:b/>
    </w:rPr>
  </w:style>
  <w:style w:type="character" w:customStyle="1" w:styleId="Underlined">
    <w:name w:val="Underlined"/>
    <w:basedOn w:val="DefaultParagraphFont"/>
    <w:rsid w:val="001511D6"/>
    <w:rPr>
      <w:u w:val="single"/>
    </w:rPr>
  </w:style>
  <w:style w:type="paragraph" w:customStyle="1" w:styleId="TableBodyTextRight">
    <w:name w:val="Table Body Text Right"/>
    <w:basedOn w:val="TableBodyText"/>
    <w:rsid w:val="001511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1D6"/>
    <w:rPr>
      <w:sz w:val="18"/>
    </w:rPr>
  </w:style>
  <w:style w:type="paragraph" w:customStyle="1" w:styleId="BodySmallRight">
    <w:name w:val="Body Small Right"/>
    <w:basedOn w:val="BodyTextRight"/>
    <w:rsid w:val="001511D6"/>
    <w:rPr>
      <w:sz w:val="18"/>
      <w:szCs w:val="18"/>
    </w:rPr>
  </w:style>
  <w:style w:type="paragraph" w:customStyle="1" w:styleId="MarginEdition">
    <w:name w:val="Margin Edition"/>
    <w:basedOn w:val="MarginNote"/>
    <w:rsid w:val="001511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1D6"/>
    <w:rPr>
      <w:sz w:val="2"/>
      <w:szCs w:val="2"/>
    </w:rPr>
  </w:style>
  <w:style w:type="character" w:customStyle="1" w:styleId="Small">
    <w:name w:val="Small"/>
    <w:basedOn w:val="DefaultParagraphFont"/>
    <w:rsid w:val="001511D6"/>
    <w:rPr>
      <w:sz w:val="16"/>
    </w:rPr>
  </w:style>
  <w:style w:type="paragraph" w:customStyle="1" w:styleId="WideTable">
    <w:name w:val="Wide Table"/>
    <w:basedOn w:val="Normal"/>
    <w:rsid w:val="001511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1D6"/>
  </w:style>
  <w:style w:type="paragraph" w:styleId="Quote">
    <w:name w:val="Quote"/>
    <w:basedOn w:val="Heading1"/>
    <w:link w:val="QuoteChar"/>
    <w:qFormat/>
    <w:rsid w:val="001511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1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1D6"/>
    <w:pPr>
      <w:pageBreakBefore/>
    </w:pPr>
  </w:style>
  <w:style w:type="paragraph" w:customStyle="1" w:styleId="Border">
    <w:name w:val="Border"/>
    <w:basedOn w:val="Normal"/>
    <w:qFormat/>
    <w:rsid w:val="001511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1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1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1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1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1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1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1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1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1D6"/>
    <w:rPr>
      <w:u w:val="single"/>
    </w:rPr>
  </w:style>
  <w:style w:type="character" w:customStyle="1" w:styleId="BoldandItalics">
    <w:name w:val="Bold and Italics"/>
    <w:qFormat/>
    <w:rsid w:val="001511D6"/>
    <w:rPr>
      <w:b/>
      <w:i/>
      <w:u w:val="none"/>
    </w:rPr>
  </w:style>
  <w:style w:type="paragraph" w:styleId="BalloonText">
    <w:name w:val="Balloon Text"/>
    <w:basedOn w:val="Normal"/>
    <w:link w:val="BalloonTextChar"/>
    <w:rsid w:val="00151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1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1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1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1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1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1D6"/>
    <w:pPr>
      <w:spacing w:before="0" w:after="0"/>
    </w:pPr>
  </w:style>
  <w:style w:type="paragraph" w:customStyle="1" w:styleId="BodyTextBold">
    <w:name w:val="Body Text Bold"/>
    <w:basedOn w:val="BodyText"/>
    <w:qFormat/>
    <w:rsid w:val="001511D6"/>
    <w:rPr>
      <w:b/>
    </w:rPr>
  </w:style>
  <w:style w:type="character" w:styleId="Hyperlink">
    <w:name w:val="Hyperlink"/>
    <w:basedOn w:val="DefaultParagraphFont"/>
    <w:uiPriority w:val="99"/>
    <w:unhideWhenUsed/>
    <w:rsid w:val="00703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3101</Characters>
  <Application>Microsoft Office Word</Application>
  <DocSecurity>0</DocSecurity>
  <Lines>129</Lines>
  <Paragraphs>74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TLIS3040 Construct concrete or steel points and crossings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2020-10-27T03:35:00Z</dcterms:created>
  <dcterms:modified xsi:type="dcterms:W3CDTF">2020-10-27T03:35:00Z</dcterms:modified>
</cp:coreProperties>
</file>