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74B" w:rsidP="000F77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TLIS3023 Erect and mount structures and housings for signalling equipment</w:t>
      </w:r>
      <w:r>
        <w:fldChar w:fldCharType="end"/>
      </w:r>
    </w:p>
    <w:p w:rsidR="000F774B" w:rsidP="000F774B">
      <w:pPr>
        <w:pStyle w:val="Version"/>
        <w:sectPr w:rsidSect="00421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728" w:rsidP="00421728">
      <w:pPr>
        <w:pStyle w:val="SuperHeading"/>
      </w:pPr>
      <w:r w:rsidRPr="00421728">
        <w:t>TLIS3023 Erect and mount structures and housings for signalling equipment</w:t>
      </w:r>
    </w:p>
    <w:p w:rsidR="00000000" w:rsidRPr="00421728" w:rsidP="00421728">
      <w:pPr>
        <w:pStyle w:val="Heading1"/>
      </w:pPr>
      <w:bookmarkStart w:id="1" w:name="O_753662"/>
      <w:bookmarkEnd w:id="1"/>
      <w:r w:rsidRPr="00421728">
        <w:t>Modification History</w:t>
      </w:r>
    </w:p>
    <w:p w:rsidR="000F774B" w:rsidP="000F774B">
      <w:pPr>
        <w:pStyle w:val="BodyText"/>
      </w:pPr>
      <w:r w:rsidRPr="00421728">
        <w:t>Release 1. This is the first release of this unit of competency in the TLI Transport and Logistics Training Package.</w:t>
      </w:r>
    </w:p>
    <w:p w:rsidR="00000000" w:rsidRPr="00421728" w:rsidP="00421728">
      <w:pPr>
        <w:pStyle w:val="Heading1"/>
      </w:pPr>
      <w:bookmarkStart w:id="2" w:name="O_753663"/>
      <w:bookmarkEnd w:id="2"/>
      <w:r w:rsidRPr="0042172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728" w:rsidP="00421728">
            <w:pPr>
              <w:pStyle w:val="BodyText"/>
            </w:pPr>
            <w:r w:rsidRPr="00421728">
              <w:t>This unit involves the skills and knowledge required to erect and mount structures and housings for signalling equipment in accordance with safeworking and regulatory requirements, and workplace procedures.</w:t>
            </w:r>
          </w:p>
          <w:p w:rsidR="00000000" w:rsidRPr="00421728" w:rsidP="00421728">
            <w:pPr>
              <w:pStyle w:val="BodyText"/>
            </w:pPr>
            <w:r w:rsidRPr="00421728">
              <w:t>It includes installing the foundation</w:t>
            </w:r>
            <w:r w:rsidRPr="00421728">
              <w:t>s, assembling the components, and installing and mounting the structures and housings in accordance with specifications.</w:t>
            </w:r>
          </w:p>
          <w:p w:rsidR="00000000" w:rsidRPr="00421728" w:rsidP="00421728">
            <w:pPr>
              <w:pStyle w:val="BodyText"/>
            </w:pPr>
            <w:r w:rsidRPr="00421728">
              <w:t xml:space="preserve">People achieving competence in this unit will need to fulfil the applicable state/territory legislated rail safety requirements and to </w:t>
            </w:r>
            <w:r w:rsidRPr="00421728">
              <w:t>comply with relevant codes of practice and/or guidelines.</w:t>
            </w:r>
          </w:p>
          <w:p w:rsidR="00000000" w:rsidRPr="00421728" w:rsidP="00421728">
            <w:pPr>
              <w:pStyle w:val="BodyText"/>
            </w:pPr>
            <w:r w:rsidRPr="00421728">
              <w:t>Work is performed under minimal supervision, generally within a team environment. It involves the application of routine operational principles and procedures when carrying out general site maintena</w:t>
            </w:r>
            <w:r w:rsidRPr="00421728">
              <w:t>nce, as part of workplace activities across a variety of operational contexts within the Australian rail system.</w:t>
            </w:r>
          </w:p>
          <w:p w:rsidR="00000000" w:rsidRPr="00421728" w:rsidP="00421728">
            <w:pPr>
              <w:pStyle w:val="BodyText"/>
            </w:pPr>
            <w:r w:rsidRPr="00421728">
              <w:t>No licensing, legislative or certification requirements apply to this unit at the time of publication.</w:t>
            </w:r>
          </w:p>
        </w:tc>
      </w:tr>
    </w:tbl>
    <w:p w:rsidR="000F774B" w:rsidP="00421728">
      <w:pPr>
        <w:pStyle w:val="BodyText"/>
      </w:pPr>
    </w:p>
    <w:p w:rsidR="000F774B" w:rsidP="00421728">
      <w:pPr>
        <w:pStyle w:val="BodyText"/>
      </w:pPr>
    </w:p>
    <w:p w:rsidR="00000000" w:rsidRPr="00421728" w:rsidP="00421728">
      <w:pPr>
        <w:pStyle w:val="Heading1"/>
      </w:pPr>
      <w:bookmarkStart w:id="3" w:name="O_753664"/>
      <w:bookmarkEnd w:id="3"/>
      <w:r w:rsidRPr="00421728">
        <w:t>Pre-requisite Unit</w:t>
      </w:r>
    </w:p>
    <w:p w:rsidR="000F774B" w:rsidP="000F774B">
      <w:pPr>
        <w:pStyle w:val="BodyText"/>
      </w:pPr>
      <w:r w:rsidRPr="00421728">
        <w:t>N</w:t>
      </w:r>
      <w:r w:rsidRPr="00421728">
        <w:t>ot applicable.</w:t>
      </w:r>
    </w:p>
    <w:p w:rsidR="00000000" w:rsidRPr="00421728" w:rsidP="00421728">
      <w:pPr>
        <w:pStyle w:val="Heading1"/>
      </w:pPr>
      <w:bookmarkStart w:id="4" w:name="O_753665"/>
      <w:bookmarkEnd w:id="4"/>
      <w:r w:rsidRPr="00421728">
        <w:t>Competency Field</w:t>
      </w:r>
    </w:p>
    <w:p w:rsidR="000F774B" w:rsidP="000F774B">
      <w:pPr>
        <w:pStyle w:val="BodyText"/>
      </w:pPr>
      <w:r w:rsidRPr="00421728">
        <w:t>S – Construction and Installation</w:t>
      </w:r>
    </w:p>
    <w:p w:rsidR="00000000" w:rsidRPr="00421728" w:rsidP="00421728">
      <w:pPr>
        <w:pStyle w:val="Heading1"/>
      </w:pPr>
      <w:bookmarkStart w:id="5" w:name="O_753666"/>
      <w:bookmarkEnd w:id="5"/>
      <w:r w:rsidRPr="00421728">
        <w:t>Unit Sector</w:t>
      </w:r>
    </w:p>
    <w:p w:rsidR="000F774B" w:rsidP="000F774B">
      <w:pPr>
        <w:pStyle w:val="BodyText"/>
      </w:pPr>
      <w:r w:rsidRPr="00421728">
        <w:t>Not applicable.</w:t>
      </w:r>
    </w:p>
    <w:p w:rsidR="00000000" w:rsidRPr="00421728" w:rsidP="00421728">
      <w:pPr>
        <w:pStyle w:val="Heading1"/>
      </w:pPr>
      <w:bookmarkStart w:id="6" w:name="O_753667"/>
      <w:bookmarkEnd w:id="6"/>
      <w:r w:rsidRPr="0042172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Performance criteria describe the performance needed to demonstrate achievement of the element.</w:t>
            </w:r>
          </w:p>
        </w:tc>
      </w:tr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728" w:rsidP="00421728">
            <w:pPr>
              <w:pStyle w:val="BodyText"/>
            </w:pPr>
            <w:r w:rsidRPr="0042172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rPr>
                <w:rStyle w:val="SpecialBold"/>
              </w:rPr>
              <w:t>Install foundations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Hazards are identified, risks are assessed and control measures are implemented</w:t>
            </w:r>
          </w:p>
        </w:tc>
      </w:tr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Worksite is inspected and appropriate arrangements are made for safe access for heavy plant and equipment</w:t>
            </w:r>
          </w:p>
        </w:tc>
      </w:tr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Foundations are poured/laid in the correct location, size and quality requirements in accordance with the work orders and job specifications</w:t>
            </w:r>
          </w:p>
        </w:tc>
      </w:tr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Authorisation is confirmed as required to ensure safe train operations may continue</w:t>
            </w:r>
          </w:p>
        </w:tc>
      </w:tr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728" w:rsidP="00421728">
            <w:pPr>
              <w:pStyle w:val="BodyText"/>
            </w:pPr>
            <w:r w:rsidRPr="0042172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rPr>
                <w:rStyle w:val="SpecialBold"/>
              </w:rPr>
              <w:t>Assemble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Components are correctly identified, prepared and laid out for assembly in accordance with work orders/assembly specifications</w:t>
            </w:r>
          </w:p>
        </w:tc>
      </w:tr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Components are pre-assembled in the correct sequence and checked to ensure safe and efficient installation can commence</w:t>
            </w:r>
          </w:p>
        </w:tc>
      </w:tr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728" w:rsidP="00421728">
            <w:pPr>
              <w:pStyle w:val="BodyText"/>
            </w:pPr>
            <w:r w:rsidRPr="0042172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rPr>
                <w:rStyle w:val="SpecialBold"/>
              </w:rPr>
              <w:t>Install and mount structures and housings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Structures are positioned on foundations and checked for compliance to job specificatio</w:t>
            </w:r>
            <w:r w:rsidRPr="00421728">
              <w:t>ns in preparation for securing</w:t>
            </w:r>
          </w:p>
        </w:tc>
      </w:tr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Structures are secured and checked for compliance with safety requirements and job specifications</w:t>
            </w:r>
          </w:p>
        </w:tc>
      </w:tr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Housings and other equipment/components are correctly positioned, installed and secured to comply with work orders and job specification requirements</w:t>
            </w:r>
          </w:p>
        </w:tc>
      </w:tr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Housings and other equipment/components are secured to ensure correct orientation to track and to p</w:t>
            </w:r>
            <w:r w:rsidRPr="00421728">
              <w:t>revent unauthorised access</w:t>
            </w:r>
          </w:p>
        </w:tc>
      </w:tr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Structures and housings are positioned to ensure they are clear of all other structures, obstructions and interference, including minimum structure gauge</w:t>
            </w:r>
          </w:p>
        </w:tc>
      </w:tr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728">
            <w:pPr>
              <w:pStyle w:val="BodyText"/>
              <w:rPr>
                <w:lang w:val="en-NZ"/>
              </w:rPr>
            </w:pPr>
            <w:r w:rsidRPr="00421728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728" w:rsidP="00421728">
            <w:pPr>
              <w:pStyle w:val="BodyText"/>
            </w:pPr>
            <w:r w:rsidRPr="00421728">
              <w:t>Equipment is locked and secured to maintain site safety and security</w:t>
            </w:r>
          </w:p>
        </w:tc>
      </w:tr>
    </w:tbl>
    <w:p w:rsidR="000F774B" w:rsidP="00421728">
      <w:pPr>
        <w:pStyle w:val="BodyText"/>
      </w:pPr>
    </w:p>
    <w:p w:rsidR="000F774B" w:rsidP="00421728">
      <w:pPr>
        <w:pStyle w:val="BodyText"/>
      </w:pPr>
    </w:p>
    <w:p w:rsidR="00000000" w:rsidRPr="00421728" w:rsidP="00421728">
      <w:pPr>
        <w:pStyle w:val="Heading1"/>
      </w:pPr>
      <w:bookmarkStart w:id="7" w:name="O_753668"/>
      <w:bookmarkEnd w:id="7"/>
      <w:r w:rsidRPr="00421728">
        <w:t>Foundation Skills</w:t>
      </w:r>
    </w:p>
    <w:p w:rsidR="000F774B" w:rsidP="000F774B">
      <w:pPr>
        <w:pStyle w:val="BodyText"/>
      </w:pPr>
      <w:r w:rsidRPr="00421728">
        <w:t>Foundation skills essential to performance are explicit in the performance criteria of this unit of competency.</w:t>
      </w:r>
    </w:p>
    <w:p w:rsidR="00000000" w:rsidRPr="00421728" w:rsidP="00421728">
      <w:pPr>
        <w:pStyle w:val="Heading1"/>
      </w:pPr>
      <w:bookmarkStart w:id="8" w:name="O_753669"/>
      <w:bookmarkEnd w:id="8"/>
      <w:r w:rsidRPr="0042172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728" w:rsidP="00421728">
            <w:pPr>
              <w:pStyle w:val="BodyText"/>
            </w:pPr>
            <w:r w:rsidRPr="00421728">
              <w:t>Range is restricted to essential operating conditions and any other variables essential to the work environment.</w:t>
            </w:r>
          </w:p>
          <w:p w:rsidR="00000000" w:rsidRPr="00421728" w:rsidP="00421728">
            <w:pPr>
              <w:pStyle w:val="BodyText"/>
            </w:pPr>
            <w:r w:rsidRPr="00421728">
              <w:t>Non-essential conditions can be found in the Companion Volume Implementation Guide.</w:t>
            </w:r>
          </w:p>
        </w:tc>
      </w:tr>
    </w:tbl>
    <w:p w:rsidR="000F774B" w:rsidP="00421728">
      <w:pPr>
        <w:pStyle w:val="BodyText"/>
      </w:pPr>
    </w:p>
    <w:p w:rsidR="000F774B" w:rsidP="00421728">
      <w:pPr>
        <w:pStyle w:val="BodyText"/>
      </w:pPr>
    </w:p>
    <w:p w:rsidR="00000000" w:rsidRPr="00421728" w:rsidP="00421728">
      <w:pPr>
        <w:pStyle w:val="Heading1"/>
      </w:pPr>
      <w:bookmarkStart w:id="9" w:name="O_753670"/>
      <w:bookmarkEnd w:id="9"/>
      <w:r w:rsidRPr="0042172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F7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728" w:rsidP="00421728">
            <w:pPr>
              <w:pStyle w:val="BodyText"/>
            </w:pPr>
            <w:r w:rsidRPr="00421728">
              <w:t>This unit replaces and is equivalent to TLIS3023A Erect and mount structures and housings for signalling equipment.</w:t>
            </w:r>
          </w:p>
        </w:tc>
      </w:tr>
    </w:tbl>
    <w:p w:rsidR="000F774B" w:rsidP="00421728">
      <w:pPr>
        <w:pStyle w:val="BodyText"/>
      </w:pPr>
    </w:p>
    <w:p w:rsidR="000F774B" w:rsidP="00421728">
      <w:pPr>
        <w:pStyle w:val="BodyText"/>
      </w:pPr>
    </w:p>
    <w:p w:rsidR="00000000" w:rsidRPr="00421728" w:rsidP="00421728">
      <w:pPr>
        <w:pStyle w:val="Heading1"/>
      </w:pPr>
      <w:bookmarkStart w:id="10" w:name="O_753677"/>
      <w:bookmarkEnd w:id="10"/>
      <w:r w:rsidRPr="00421728">
        <w:t>Links</w:t>
      </w:r>
    </w:p>
    <w:p w:rsidR="00000000" w:rsidRPr="00421728" w:rsidP="000F774B">
      <w:pPr>
        <w:pStyle w:val="BodyText"/>
      </w:pPr>
      <w:r w:rsidRPr="00421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644E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1728" w:rsidP="00421728"/>
    <w:sectPr w:rsidSect="004217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728" w:rsidRPr="000F774B" w:rsidP="000F77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4B" w:rsidP="00421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74B" w:rsidP="00421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F774B" w:rsidP="00421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728" w:rsidRPr="000F774B" w:rsidP="000F77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4B" w:rsidRPr="002D2AF8" w:rsidP="00421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TLIS3023 Erect and mount structures and housings for signalling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F774B" w:rsidP="00421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728"/>
  </w:style>
  <w:style w:type="character" w:customStyle="1" w:styleId="Heading1Char">
    <w:name w:val="Heading 1 Char"/>
    <w:basedOn w:val="DefaultParagraphFont"/>
    <w:link w:val="Heading1"/>
    <w:rsid w:val="00421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72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1728"/>
    <w:rPr>
      <w:b/>
      <w:spacing w:val="0"/>
    </w:rPr>
  </w:style>
  <w:style w:type="paragraph" w:customStyle="1" w:styleId="SuperHeading">
    <w:name w:val="SuperHeading"/>
    <w:basedOn w:val="Normal"/>
    <w:rsid w:val="00421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7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17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1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7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7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728"/>
    <w:rPr>
      <w:i/>
    </w:rPr>
  </w:style>
  <w:style w:type="paragraph" w:styleId="Caption">
    <w:name w:val="caption"/>
    <w:basedOn w:val="BodyText"/>
    <w:next w:val="Normal"/>
    <w:qFormat/>
    <w:rsid w:val="00421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728"/>
  </w:style>
  <w:style w:type="paragraph" w:styleId="TableofFigures">
    <w:name w:val="table of figures"/>
    <w:basedOn w:val="Normal"/>
    <w:next w:val="Normal"/>
    <w:semiHidden/>
    <w:rsid w:val="00421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7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1728"/>
    <w:rPr>
      <w:rFonts w:ascii="Wingdings" w:hAnsi="Wingdings"/>
    </w:rPr>
  </w:style>
  <w:style w:type="paragraph" w:customStyle="1" w:styleId="TableHeading">
    <w:name w:val="Table Heading"/>
    <w:basedOn w:val="HeadingBase"/>
    <w:rsid w:val="00421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728"/>
    <w:rPr>
      <w:color w:val="0033CC"/>
      <w:u w:val="none"/>
    </w:rPr>
  </w:style>
  <w:style w:type="paragraph" w:customStyle="1" w:styleId="BodyTextRight">
    <w:name w:val="Body Text Right"/>
    <w:basedOn w:val="BodyText"/>
    <w:rsid w:val="00421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7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728"/>
    <w:rPr>
      <w:sz w:val="32"/>
    </w:rPr>
  </w:style>
  <w:style w:type="paragraph" w:customStyle="1" w:styleId="HeadingProcedure">
    <w:name w:val="Heading Procedure"/>
    <w:basedOn w:val="HeadingBase"/>
    <w:next w:val="Normal"/>
    <w:rsid w:val="00421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728"/>
    <w:pPr>
      <w:spacing w:before="60" w:after="60"/>
    </w:pPr>
  </w:style>
  <w:style w:type="paragraph" w:styleId="ListContinue">
    <w:name w:val="List Continue"/>
    <w:basedOn w:val="List"/>
    <w:rsid w:val="00421728"/>
    <w:pPr>
      <w:ind w:firstLine="0"/>
    </w:pPr>
  </w:style>
  <w:style w:type="paragraph" w:customStyle="1" w:styleId="ListNote">
    <w:name w:val="List Note"/>
    <w:basedOn w:val="List"/>
    <w:rsid w:val="00421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728"/>
    <w:rPr>
      <w:rFonts w:ascii="Courier New" w:hAnsi="Courier New"/>
    </w:rPr>
  </w:style>
  <w:style w:type="paragraph" w:customStyle="1" w:styleId="NoteBullet">
    <w:name w:val="Note Bullet"/>
    <w:basedOn w:val="Note"/>
    <w:rsid w:val="00421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7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1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728"/>
    <w:rPr>
      <w:b/>
      <w:smallCaps/>
    </w:rPr>
  </w:style>
  <w:style w:type="paragraph" w:customStyle="1" w:styleId="TableListNumber">
    <w:name w:val="Table List Number"/>
    <w:basedOn w:val="ListNumber"/>
    <w:rsid w:val="00421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728"/>
    <w:pPr>
      <w:numPr>
        <w:numId w:val="7"/>
      </w:numPr>
    </w:pPr>
  </w:style>
  <w:style w:type="paragraph" w:customStyle="1" w:styleId="ListAlpha2">
    <w:name w:val="List Alpha 2"/>
    <w:basedOn w:val="List2"/>
    <w:rsid w:val="00421728"/>
    <w:pPr>
      <w:numPr>
        <w:numId w:val="6"/>
      </w:numPr>
    </w:pPr>
  </w:style>
  <w:style w:type="paragraph" w:styleId="List2">
    <w:name w:val="List 2"/>
    <w:basedOn w:val="BodyText"/>
    <w:rsid w:val="00421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7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7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1728"/>
    <w:pPr>
      <w:numPr>
        <w:numId w:val="2"/>
      </w:numPr>
    </w:pPr>
  </w:style>
  <w:style w:type="paragraph" w:styleId="ListContinue2">
    <w:name w:val="List Continue 2"/>
    <w:basedOn w:val="List2"/>
    <w:rsid w:val="00421728"/>
    <w:pPr>
      <w:ind w:firstLine="0"/>
    </w:pPr>
  </w:style>
  <w:style w:type="paragraph" w:styleId="ListContinue3">
    <w:name w:val="List Continue 3"/>
    <w:basedOn w:val="List3"/>
    <w:rsid w:val="00421728"/>
    <w:pPr>
      <w:ind w:left="1021" w:firstLine="0"/>
    </w:pPr>
  </w:style>
  <w:style w:type="paragraph" w:styleId="ListContinue4">
    <w:name w:val="List Continue 4"/>
    <w:basedOn w:val="List4"/>
    <w:rsid w:val="00421728"/>
    <w:pPr>
      <w:ind w:firstLine="0"/>
    </w:pPr>
  </w:style>
  <w:style w:type="paragraph" w:styleId="ListContinue5">
    <w:name w:val="List Continue 5"/>
    <w:basedOn w:val="List5"/>
    <w:rsid w:val="00421728"/>
    <w:pPr>
      <w:ind w:firstLine="0"/>
    </w:pPr>
  </w:style>
  <w:style w:type="paragraph" w:styleId="ListNumber3">
    <w:name w:val="List Number 3"/>
    <w:basedOn w:val="List3"/>
    <w:rsid w:val="00421728"/>
    <w:pPr>
      <w:numPr>
        <w:numId w:val="3"/>
      </w:numPr>
    </w:pPr>
  </w:style>
  <w:style w:type="paragraph" w:styleId="ListNumber4">
    <w:name w:val="List Number 4"/>
    <w:basedOn w:val="List4"/>
    <w:rsid w:val="00421728"/>
    <w:pPr>
      <w:numPr>
        <w:numId w:val="4"/>
      </w:numPr>
    </w:pPr>
  </w:style>
  <w:style w:type="paragraph" w:styleId="ListNumber5">
    <w:name w:val="List Number 5"/>
    <w:basedOn w:val="List5"/>
    <w:rsid w:val="00421728"/>
    <w:pPr>
      <w:numPr>
        <w:numId w:val="5"/>
      </w:numPr>
    </w:pPr>
  </w:style>
  <w:style w:type="paragraph" w:styleId="BlockText">
    <w:name w:val="Block Text"/>
    <w:basedOn w:val="Normal"/>
    <w:rsid w:val="00421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728"/>
    <w:rPr>
      <w:sz w:val="16"/>
      <w:vertAlign w:val="superscript"/>
    </w:rPr>
  </w:style>
  <w:style w:type="character" w:customStyle="1" w:styleId="Symbols">
    <w:name w:val="Symbols"/>
    <w:basedOn w:val="DefaultParagraphFont"/>
    <w:rsid w:val="00421728"/>
    <w:rPr>
      <w:rFonts w:ascii="Symbol" w:hAnsi="Symbol"/>
    </w:rPr>
  </w:style>
  <w:style w:type="character" w:customStyle="1" w:styleId="MenuOptions">
    <w:name w:val="Menu Options"/>
    <w:basedOn w:val="DefaultParagraphFont"/>
    <w:rsid w:val="00421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728"/>
    <w:rPr>
      <w:b/>
    </w:rPr>
  </w:style>
  <w:style w:type="character" w:customStyle="1" w:styleId="Underlined">
    <w:name w:val="Underlined"/>
    <w:basedOn w:val="DefaultParagraphFont"/>
    <w:rsid w:val="00421728"/>
    <w:rPr>
      <w:u w:val="single"/>
    </w:rPr>
  </w:style>
  <w:style w:type="paragraph" w:customStyle="1" w:styleId="TableBodyTextRight">
    <w:name w:val="Table Body Text Right"/>
    <w:basedOn w:val="TableBodyText"/>
    <w:rsid w:val="00421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728"/>
    <w:rPr>
      <w:sz w:val="18"/>
    </w:rPr>
  </w:style>
  <w:style w:type="paragraph" w:customStyle="1" w:styleId="BodySmallRight">
    <w:name w:val="Body Small Right"/>
    <w:basedOn w:val="BodyTextRight"/>
    <w:rsid w:val="00421728"/>
    <w:rPr>
      <w:sz w:val="18"/>
      <w:szCs w:val="18"/>
    </w:rPr>
  </w:style>
  <w:style w:type="paragraph" w:customStyle="1" w:styleId="MarginEdition">
    <w:name w:val="Margin Edition"/>
    <w:basedOn w:val="MarginNote"/>
    <w:rsid w:val="00421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728"/>
    <w:rPr>
      <w:sz w:val="2"/>
      <w:szCs w:val="2"/>
    </w:rPr>
  </w:style>
  <w:style w:type="character" w:customStyle="1" w:styleId="Small">
    <w:name w:val="Small"/>
    <w:basedOn w:val="DefaultParagraphFont"/>
    <w:rsid w:val="00421728"/>
    <w:rPr>
      <w:sz w:val="16"/>
    </w:rPr>
  </w:style>
  <w:style w:type="paragraph" w:customStyle="1" w:styleId="WideTable">
    <w:name w:val="Wide Table"/>
    <w:basedOn w:val="Normal"/>
    <w:rsid w:val="00421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728"/>
  </w:style>
  <w:style w:type="paragraph" w:styleId="Quote">
    <w:name w:val="Quote"/>
    <w:basedOn w:val="Heading1"/>
    <w:link w:val="QuoteChar"/>
    <w:qFormat/>
    <w:rsid w:val="00421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728"/>
    <w:pPr>
      <w:pageBreakBefore/>
    </w:pPr>
  </w:style>
  <w:style w:type="paragraph" w:customStyle="1" w:styleId="Border">
    <w:name w:val="Border"/>
    <w:basedOn w:val="Normal"/>
    <w:qFormat/>
    <w:rsid w:val="00421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728"/>
    <w:rPr>
      <w:u w:val="single"/>
    </w:rPr>
  </w:style>
  <w:style w:type="character" w:customStyle="1" w:styleId="BoldandItalics">
    <w:name w:val="Bold and Italics"/>
    <w:qFormat/>
    <w:rsid w:val="00421728"/>
    <w:rPr>
      <w:b/>
      <w:i/>
      <w:u w:val="none"/>
    </w:rPr>
  </w:style>
  <w:style w:type="paragraph" w:styleId="BalloonText">
    <w:name w:val="Balloon Text"/>
    <w:basedOn w:val="Normal"/>
    <w:link w:val="BalloonTextChar"/>
    <w:rsid w:val="00421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728"/>
    <w:pPr>
      <w:spacing w:before="0" w:after="0"/>
    </w:pPr>
  </w:style>
  <w:style w:type="paragraph" w:customStyle="1" w:styleId="BodyTextBold">
    <w:name w:val="Body Text Bold"/>
    <w:basedOn w:val="BodyText"/>
    <w:qFormat/>
    <w:rsid w:val="00421728"/>
    <w:rPr>
      <w:b/>
    </w:rPr>
  </w:style>
  <w:style w:type="character" w:styleId="Hyperlink">
    <w:name w:val="Hyperlink"/>
    <w:basedOn w:val="DefaultParagraphFont"/>
    <w:uiPriority w:val="99"/>
    <w:unhideWhenUsed/>
    <w:rsid w:val="000F77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535</Words>
  <Characters>3394</Characters>
  <Application>Microsoft Office Word</Application>
  <DocSecurity>0</DocSecurity>
  <Lines>125</Lines>
  <Paragraphs>71</Paragraphs>
  <ScaleCrop>false</ScaleCrop>
  <Company>Author-it Software Corporation Ltd.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TLIS3023 Erect and mount structures and housings for signalling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2024-07-12T07:55:00Z</dcterms:modified>
</cp:coreProperties>
</file>