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9BC" w:rsidP="00FA4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TLIS3011 Test rail using nondestructive testing equipment</w:t>
      </w:r>
      <w:r>
        <w:fldChar w:fldCharType="end"/>
      </w:r>
    </w:p>
    <w:p w:rsidR="00FA49BC" w:rsidP="00FA49BC">
      <w:pPr>
        <w:pStyle w:val="Version"/>
        <w:sectPr w:rsidSect="00F01B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1B83" w:rsidP="00F01B83">
      <w:pPr>
        <w:pStyle w:val="SuperHeading"/>
      </w:pPr>
      <w:r w:rsidRPr="00F01B83">
        <w:t>Assessment Requirements for TLIS3011 Test rail using nondestructive testing equipment</w:t>
      </w:r>
    </w:p>
    <w:p w:rsidR="00000000" w:rsidRPr="00F01B83" w:rsidP="00F01B83">
      <w:pPr>
        <w:pStyle w:val="Heading1"/>
      </w:pPr>
      <w:bookmarkStart w:id="1" w:name="O_1120727"/>
      <w:bookmarkEnd w:id="1"/>
      <w:r w:rsidRPr="00F01B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B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83" w:rsidP="00F01B83">
            <w:pPr>
              <w:pStyle w:val="BodyText"/>
            </w:pPr>
            <w:r w:rsidRPr="00F01B83">
              <w:rPr>
                <w:rStyle w:val="SpecialBold"/>
              </w:rPr>
              <w:t>Release 2</w:t>
            </w:r>
            <w:r w:rsidRPr="00F01B83">
              <w:t>. This is the second release of this unit of competency in the TLI Transport and Logistics Training Package:</w:t>
            </w:r>
          </w:p>
          <w:p w:rsidR="00000000" w:rsidP="00F01B83">
            <w:pPr>
              <w:pStyle w:val="ListBullet"/>
              <w:rPr>
                <w:lang w:val="en-NZ"/>
              </w:rPr>
            </w:pPr>
            <w:r w:rsidRPr="00F01B83">
              <w:t>Minor statement changes in Assessment Conditions.</w:t>
            </w:r>
          </w:p>
        </w:tc>
      </w:tr>
      <w:tr w:rsidTr="00F01B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83" w:rsidP="00F01B83">
            <w:pPr>
              <w:pStyle w:val="BodyText"/>
            </w:pPr>
            <w:r w:rsidRPr="00F01B83">
              <w:rPr>
                <w:rStyle w:val="SpecialBold"/>
              </w:rPr>
              <w:t>Release 1</w:t>
            </w:r>
            <w:r w:rsidRPr="00F01B83">
              <w:t>. This is the first release of this unit of competency in the TLI Transport and Logistics Training Package.</w:t>
            </w:r>
          </w:p>
        </w:tc>
      </w:tr>
    </w:tbl>
    <w:p w:rsidR="00000000" w:rsidRPr="00F01B83" w:rsidP="00F01B83">
      <w:pPr>
        <w:pStyle w:val="NoPaddingFontSize1"/>
      </w:pPr>
    </w:p>
    <w:p w:rsidR="00000000" w:rsidRPr="00F01B83" w:rsidP="00F01B83">
      <w:pPr>
        <w:pStyle w:val="AllowPageBreak"/>
      </w:pPr>
    </w:p>
    <w:p w:rsidR="00000000" w:rsidRPr="00F01B83" w:rsidP="00F01B83">
      <w:pPr>
        <w:pStyle w:val="Heading1"/>
      </w:pPr>
      <w:bookmarkStart w:id="2" w:name="O_1120726"/>
      <w:bookmarkEnd w:id="2"/>
      <w:r w:rsidRPr="00F01B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B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83" w:rsidP="00F01B83">
            <w:pPr>
              <w:pStyle w:val="BodyText"/>
            </w:pPr>
            <w:r w:rsidRPr="00F01B83">
              <w:t>Evidence required to demonstrate competence in</w:t>
            </w:r>
            <w:r w:rsidRPr="00F01B83">
              <w:t xml:space="preserve"> this unit must be relevant to and satisfy all of the requirements of the elements and performance criteria on at least three separate occasions and include:</w:t>
            </w:r>
          </w:p>
          <w:p w:rsidR="00000000" w:rsidRPr="00F01B83" w:rsidP="00F01B83">
            <w:pPr>
              <w:pStyle w:val="ListBullet"/>
            </w:pPr>
            <w:r w:rsidRPr="00F01B83">
              <w:t>adapting to differences in equipment in accordance with operating procedures</w:t>
            </w:r>
          </w:p>
          <w:p w:rsidR="00000000" w:rsidRPr="00F01B83" w:rsidP="00F01B83">
            <w:pPr>
              <w:pStyle w:val="ListBullet"/>
            </w:pPr>
            <w:r w:rsidRPr="00F01B83">
              <w:t>applying relevant wo</w:t>
            </w:r>
            <w:r w:rsidRPr="00F01B83">
              <w:t>rkplace procedures</w:t>
            </w:r>
          </w:p>
          <w:p w:rsidR="00000000" w:rsidRPr="00F01B83" w:rsidP="00F01B83">
            <w:pPr>
              <w:pStyle w:val="ListBullet"/>
            </w:pPr>
            <w:r w:rsidRPr="00F01B83">
              <w:t>checking and maintaining nondestructive testing equipment</w:t>
            </w:r>
          </w:p>
          <w:p w:rsidR="00000000" w:rsidRPr="00F01B83" w:rsidP="00F01B83">
            <w:pPr>
              <w:pStyle w:val="ListBullet"/>
            </w:pPr>
            <w:r w:rsidRPr="00F01B83">
              <w:t>checking turnouts for observable faults</w:t>
            </w:r>
          </w:p>
          <w:p w:rsidR="00000000" w:rsidRPr="00F01B83" w:rsidP="00F01B83">
            <w:pPr>
              <w:pStyle w:val="ListBullet"/>
            </w:pPr>
            <w:r w:rsidRPr="00F01B83">
              <w:t>conducting visual examinations</w:t>
            </w:r>
          </w:p>
          <w:p w:rsidR="00000000" w:rsidRPr="00F01B83" w:rsidP="00F01B83">
            <w:pPr>
              <w:pStyle w:val="ListBullet"/>
            </w:pPr>
            <w:r w:rsidRPr="00F01B83">
              <w:t>identifying job hazards and taking required actions to minimise, control or eliminate identified hazards</w:t>
            </w:r>
          </w:p>
          <w:p w:rsidR="00000000" w:rsidRPr="00F01B83" w:rsidP="00F01B83">
            <w:pPr>
              <w:pStyle w:val="ListBullet"/>
            </w:pPr>
            <w:r w:rsidRPr="00F01B83">
              <w:t>identifying types of rail defects in switches and crossings</w:t>
            </w:r>
          </w:p>
          <w:p w:rsidR="00000000" w:rsidRPr="00F01B83" w:rsidP="00F01B83">
            <w:pPr>
              <w:pStyle w:val="ListBullet"/>
            </w:pPr>
            <w:r w:rsidRPr="00F01B83">
              <w:t>implementing contingency plans</w:t>
            </w:r>
          </w:p>
          <w:p w:rsidR="00000000" w:rsidRPr="00F01B83" w:rsidP="00F01B83">
            <w:pPr>
              <w:pStyle w:val="ListBullet"/>
            </w:pPr>
            <w:r w:rsidRPr="00F01B83">
              <w:t>interpreting and following relevant operational instructions and prioritising work</w:t>
            </w:r>
          </w:p>
          <w:p w:rsidR="00000000" w:rsidRPr="00F01B83" w:rsidP="00F01B83">
            <w:pPr>
              <w:pStyle w:val="ListBullet"/>
            </w:pPr>
            <w:r w:rsidRPr="00F01B83">
              <w:t>locating, measuring and assessing defect size for all defect types</w:t>
            </w:r>
          </w:p>
          <w:p w:rsidR="00000000" w:rsidRPr="00F01B83" w:rsidP="00F01B83">
            <w:pPr>
              <w:pStyle w:val="ListBullet"/>
            </w:pPr>
            <w:r w:rsidRPr="00F01B83">
              <w:t>modifying activ</w:t>
            </w:r>
            <w:r w:rsidRPr="00F01B83">
              <w:t>ities depending on operational contingencies, risk situations and environments</w:t>
            </w:r>
          </w:p>
          <w:p w:rsidR="00000000" w:rsidRPr="00F01B83" w:rsidP="00F01B83">
            <w:pPr>
              <w:pStyle w:val="ListBullet"/>
            </w:pPr>
            <w:r w:rsidRPr="00F01B83">
              <w:t>monitoring work activities in terms of planned schedule</w:t>
            </w:r>
          </w:p>
          <w:p w:rsidR="00000000" w:rsidRPr="00F01B83" w:rsidP="00F01B83">
            <w:pPr>
              <w:pStyle w:val="ListBullet"/>
            </w:pPr>
            <w:r w:rsidRPr="00F01B83">
              <w:t>reading and interpreting relevant technical data, drawings, instructions and manuals</w:t>
            </w:r>
          </w:p>
          <w:p w:rsidR="00000000" w:rsidRPr="00F01B83" w:rsidP="00F01B83">
            <w:pPr>
              <w:pStyle w:val="ListBullet"/>
            </w:pPr>
            <w:r w:rsidRPr="00F01B83">
              <w:t>reporting and/or rectifying identifi</w:t>
            </w:r>
            <w:r w:rsidRPr="00F01B83">
              <w:t>ed problems, test results, faults or malfunctions, in accordance with workplace procedures</w:t>
            </w:r>
          </w:p>
          <w:p w:rsidR="00000000" w:rsidRPr="00F01B83" w:rsidP="00F01B83">
            <w:pPr>
              <w:pStyle w:val="ListBullet"/>
            </w:pPr>
            <w:r w:rsidRPr="00F01B83">
              <w:t>working systematically with required attention to detail without injury to self or others, or damage to goods or equipment.</w:t>
            </w:r>
          </w:p>
        </w:tc>
      </w:tr>
    </w:tbl>
    <w:p w:rsidR="00000000" w:rsidRPr="00F01B83" w:rsidP="00F01B83">
      <w:pPr>
        <w:pStyle w:val="NoPaddingFontSize1"/>
      </w:pPr>
    </w:p>
    <w:p w:rsidR="00000000" w:rsidRPr="00F01B83" w:rsidP="00F01B83">
      <w:pPr>
        <w:pStyle w:val="AllowPageBreak"/>
      </w:pPr>
    </w:p>
    <w:p w:rsidR="00000000" w:rsidRPr="00F01B83" w:rsidP="00F01B83">
      <w:pPr>
        <w:pStyle w:val="Heading1"/>
      </w:pPr>
      <w:bookmarkStart w:id="3" w:name="O_1120725"/>
      <w:bookmarkEnd w:id="3"/>
      <w:r w:rsidRPr="00F01B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B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83" w:rsidP="00F01B83">
            <w:pPr>
              <w:pStyle w:val="BodyText"/>
            </w:pPr>
            <w:r w:rsidRPr="00F01B83">
              <w:t>E</w:t>
            </w:r>
            <w:r w:rsidRPr="00F01B83">
              <w:t>vidence required to demonstrate competence in this unit must be relevant to and satisfy all of the requirements of the elements and performance criteria and include knowledge of:</w:t>
            </w:r>
          </w:p>
          <w:p w:rsidR="00000000" w:rsidRPr="00F01B83" w:rsidP="00F01B83">
            <w:pPr>
              <w:pStyle w:val="ListBullet"/>
            </w:pPr>
            <w:r w:rsidRPr="00F01B83">
              <w:t xml:space="preserve">hazards that may exist when testing turnouts and rail using nondestructive testing equipment, </w:t>
            </w:r>
            <w:r w:rsidRPr="00F01B83">
              <w:t>and ways of controlling the risks involved</w:t>
            </w:r>
          </w:p>
          <w:p w:rsidR="00000000" w:rsidRPr="00F01B83" w:rsidP="00F01B83">
            <w:pPr>
              <w:pStyle w:val="ListBullet"/>
            </w:pPr>
            <w:r w:rsidRPr="00F01B83">
              <w:t xml:space="preserve">problems that may occur when testing turnouts and rail using nondestructive testing equipment, and actions that can be </w:t>
            </w:r>
            <w:r w:rsidRPr="00F01B83">
              <w:t>taken to report or resolve these problems</w:t>
            </w:r>
          </w:p>
          <w:p w:rsidR="00000000" w:rsidRPr="00F01B83" w:rsidP="00F01B83">
            <w:pPr>
              <w:pStyle w:val="ListBullet"/>
            </w:pPr>
            <w:r w:rsidRPr="00F01B83">
              <w:t>relevant rail danger zones</w:t>
            </w:r>
          </w:p>
          <w:p w:rsidR="00000000" w:rsidRPr="00F01B83" w:rsidP="00F01B83">
            <w:pPr>
              <w:pStyle w:val="ListBullet"/>
            </w:pPr>
            <w:r w:rsidRPr="00F01B83">
              <w:t>relevant recording and documentation procedures</w:t>
            </w:r>
          </w:p>
          <w:p w:rsidR="00000000" w:rsidRPr="00F01B83" w:rsidP="00F01B83">
            <w:pPr>
              <w:pStyle w:val="ListBullet"/>
            </w:pPr>
            <w:r w:rsidRPr="00F01B83">
              <w:t>relevant rail safety, work health and safety (WHS)/occupational health and safety (OHS) and environmental procedures and regulations</w:t>
            </w:r>
          </w:p>
          <w:p w:rsidR="00000000" w:rsidRPr="00F01B83" w:rsidP="00F01B83">
            <w:pPr>
              <w:pStyle w:val="ListBullet"/>
            </w:pPr>
            <w:r w:rsidRPr="00F01B83">
              <w:t>releva</w:t>
            </w:r>
            <w:r w:rsidRPr="00F01B83">
              <w:t>nt workplace technical manuals and instructions required to test switches, crossings and other special components in turnouts using ultrasonic and other nondestructive testing equipment</w:t>
            </w:r>
          </w:p>
          <w:p w:rsidR="00000000" w:rsidRPr="00F01B83" w:rsidP="00F01B83">
            <w:pPr>
              <w:pStyle w:val="ListBullet"/>
            </w:pPr>
            <w:r w:rsidRPr="00F01B83">
              <w:t>special inspection requirements for alloy hardened crossings</w:t>
            </w:r>
          </w:p>
          <w:p w:rsidR="00000000" w:rsidRPr="00F01B83" w:rsidP="00F01B83">
            <w:pPr>
              <w:pStyle w:val="ListBullet"/>
            </w:pPr>
            <w:r w:rsidRPr="00F01B83">
              <w:t xml:space="preserve">types of </w:t>
            </w:r>
            <w:r w:rsidRPr="00F01B83">
              <w:t>rail defects found in turnouts and rail defect classification</w:t>
            </w:r>
          </w:p>
          <w:p w:rsidR="00000000" w:rsidRPr="00F01B83" w:rsidP="00F01B83">
            <w:pPr>
              <w:pStyle w:val="ListBullet"/>
            </w:pPr>
            <w:r w:rsidRPr="00F01B83">
              <w:t>ultrasonic testing requirements for turnouts and special trackwork</w:t>
            </w:r>
          </w:p>
          <w:p w:rsidR="00000000" w:rsidRPr="00F01B83" w:rsidP="00F01B83">
            <w:pPr>
              <w:pStyle w:val="ListBullet"/>
            </w:pPr>
            <w:r w:rsidRPr="00F01B83">
              <w:t>workplace procedures for testing turnouts and rail using nondestructive testing equipment.</w:t>
            </w:r>
          </w:p>
        </w:tc>
      </w:tr>
    </w:tbl>
    <w:p w:rsidR="00000000" w:rsidRPr="00F01B83" w:rsidP="00F01B83">
      <w:pPr>
        <w:pStyle w:val="NoPaddingFontSize1"/>
      </w:pPr>
    </w:p>
    <w:p w:rsidR="00000000" w:rsidRPr="00F01B83" w:rsidP="00F01B83">
      <w:pPr>
        <w:pStyle w:val="AllowPageBreak"/>
      </w:pPr>
    </w:p>
    <w:p w:rsidR="00000000" w:rsidRPr="00F01B83" w:rsidP="00F01B83">
      <w:pPr>
        <w:pStyle w:val="Heading1"/>
      </w:pPr>
      <w:bookmarkStart w:id="4" w:name="O_1120724"/>
      <w:bookmarkEnd w:id="4"/>
      <w:r w:rsidRPr="00F01B83">
        <w:t>Assessment Cond</w:t>
      </w:r>
      <w:r w:rsidRPr="00F01B83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B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B83" w:rsidP="00F01B83">
            <w:pPr>
              <w:pStyle w:val="BodyText"/>
            </w:pPr>
            <w:r w:rsidRPr="00F01B83">
              <w:t xml:space="preserve">Assessors must hold credentials specified within the Standards for Registered Training Organisations current at the time of assessment. </w:t>
            </w:r>
          </w:p>
          <w:p w:rsidR="00000000" w:rsidRPr="00F01B83" w:rsidP="00F01B83">
            <w:pPr>
              <w:pStyle w:val="BodyText"/>
            </w:pPr>
            <w:r w:rsidRPr="00F01B8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01B83" w:rsidP="00F01B83">
            <w:pPr>
              <w:pStyle w:val="BodyText"/>
            </w:pPr>
            <w:r w:rsidRPr="00F01B83">
              <w:t>Assessment must occur in workplace operational</w:t>
            </w:r>
            <w:r w:rsidRPr="00F01B83">
              <w:t xml:space="preserve"> situations or, where this is not available, in simulated workplace operational situations that replicate rail corridor workplace conditions.</w:t>
            </w:r>
          </w:p>
          <w:p w:rsidR="00000000" w:rsidRPr="00F01B83" w:rsidP="00F01B83">
            <w:pPr>
              <w:pStyle w:val="BodyText"/>
            </w:pPr>
            <w:r w:rsidRPr="00F01B83">
              <w:t>Assessment processes and techniques must be appropriate to the language, literacy and numeracy requirements of the</w:t>
            </w:r>
            <w:r w:rsidRPr="00F01B83">
              <w:t xml:space="preserve"> work being performed and the needs of the candidate.</w:t>
            </w:r>
          </w:p>
          <w:p w:rsidR="00000000" w:rsidRPr="00F01B83" w:rsidP="00F01B83">
            <w:pPr>
              <w:pStyle w:val="BodyText"/>
            </w:pPr>
            <w:r w:rsidRPr="00F01B83">
              <w:t>Resources for assessment must include access to:</w:t>
            </w:r>
          </w:p>
          <w:p w:rsidR="00000000" w:rsidRPr="00F01B83" w:rsidP="00F01B83">
            <w:pPr>
              <w:pStyle w:val="ListBullet"/>
            </w:pPr>
            <w:r w:rsidRPr="00F01B83">
              <w:t>a range of relevant exercises, case studies and/or simulations</w:t>
            </w:r>
          </w:p>
          <w:p w:rsidR="00000000" w:rsidRPr="00F01B83" w:rsidP="00F01B83">
            <w:pPr>
              <w:pStyle w:val="ListBullet"/>
            </w:pPr>
            <w:r w:rsidRPr="00F01B83">
              <w:t>relevant and appropriate materials, tools, equipment and personal protective equipment (P</w:t>
            </w:r>
            <w:r w:rsidRPr="00F01B83">
              <w:t>PE) currently used in industry</w:t>
            </w:r>
          </w:p>
          <w:p w:rsidR="00000000" w:rsidRPr="00F01B83" w:rsidP="00F01B83">
            <w:pPr>
              <w:pStyle w:val="ListBullet"/>
            </w:pPr>
            <w:r w:rsidRPr="00F01B83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F01B83" w:rsidP="00F01B83">
      <w:pPr>
        <w:pStyle w:val="NoPaddingFontSize1"/>
      </w:pPr>
    </w:p>
    <w:p w:rsidR="00000000" w:rsidRPr="00F01B83" w:rsidP="00F01B83">
      <w:pPr>
        <w:pStyle w:val="AllowPageBreak"/>
      </w:pPr>
    </w:p>
    <w:p w:rsidR="00000000" w:rsidRPr="00F01B83" w:rsidP="00F01B83">
      <w:pPr>
        <w:pStyle w:val="Heading1"/>
      </w:pPr>
      <w:bookmarkStart w:id="5" w:name="O_1120739"/>
      <w:bookmarkEnd w:id="5"/>
      <w:r w:rsidRPr="00F01B83">
        <w:t>Links</w:t>
      </w:r>
    </w:p>
    <w:p w:rsidR="00000000" w:rsidRPr="00F01B83" w:rsidP="00FA49BC">
      <w:pPr>
        <w:pStyle w:val="BodyText"/>
      </w:pPr>
      <w:r w:rsidRPr="00F01B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18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01B83" w:rsidP="00F01B83"/>
    <w:sectPr w:rsidSect="00F01B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83" w:rsidRPr="00FA49BC" w:rsidP="00FA4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BC" w:rsidP="00F01B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49BC" w:rsidP="00F01B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49BC" w:rsidP="00F01B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B83" w:rsidRPr="00FA49BC" w:rsidP="00FA4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B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9BC" w:rsidRPr="002D2AF8" w:rsidP="00F01B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TLIS3011 Test rail using nondestructive testing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49BC" w:rsidP="00F01B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64A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C2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B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B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B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B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B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B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B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B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B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B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B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B83"/>
  </w:style>
  <w:style w:type="character" w:customStyle="1" w:styleId="Heading1Char">
    <w:name w:val="Heading 1 Char"/>
    <w:basedOn w:val="DefaultParagraphFont"/>
    <w:link w:val="Heading1"/>
    <w:rsid w:val="00F01B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B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B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B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B83"/>
    <w:rPr>
      <w:b/>
      <w:spacing w:val="0"/>
    </w:rPr>
  </w:style>
  <w:style w:type="paragraph" w:customStyle="1" w:styleId="SuperHeading">
    <w:name w:val="SuperHeading"/>
    <w:basedOn w:val="Normal"/>
    <w:rsid w:val="00F01B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B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1B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B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B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B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B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B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B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B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B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B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B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B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B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B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B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B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B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B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B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B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B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B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B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B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B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B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B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B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B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B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B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B83"/>
    <w:rPr>
      <w:i/>
    </w:rPr>
  </w:style>
  <w:style w:type="paragraph" w:styleId="Caption">
    <w:name w:val="caption"/>
    <w:basedOn w:val="BodyText"/>
    <w:next w:val="Normal"/>
    <w:qFormat/>
    <w:rsid w:val="00F01B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B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B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B83"/>
  </w:style>
  <w:style w:type="paragraph" w:styleId="TableofFigures">
    <w:name w:val="table of figures"/>
    <w:basedOn w:val="Normal"/>
    <w:next w:val="Normal"/>
    <w:semiHidden/>
    <w:rsid w:val="00F01B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B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1B83"/>
    <w:rPr>
      <w:rFonts w:ascii="Wingdings" w:hAnsi="Wingdings"/>
    </w:rPr>
  </w:style>
  <w:style w:type="paragraph" w:customStyle="1" w:styleId="TableHeading">
    <w:name w:val="Table Heading"/>
    <w:basedOn w:val="HeadingBase"/>
    <w:rsid w:val="00F01B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B83"/>
    <w:rPr>
      <w:color w:val="0033CC"/>
      <w:u w:val="none"/>
    </w:rPr>
  </w:style>
  <w:style w:type="paragraph" w:customStyle="1" w:styleId="BodyTextRight">
    <w:name w:val="Body Text Right"/>
    <w:basedOn w:val="BodyText"/>
    <w:rsid w:val="00F01B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B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B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B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B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B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B83"/>
    <w:rPr>
      <w:sz w:val="32"/>
    </w:rPr>
  </w:style>
  <w:style w:type="paragraph" w:customStyle="1" w:styleId="HeadingProcedure">
    <w:name w:val="Heading Procedure"/>
    <w:basedOn w:val="HeadingBase"/>
    <w:next w:val="Normal"/>
    <w:rsid w:val="00F01B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B83"/>
    <w:pPr>
      <w:spacing w:before="60" w:after="60"/>
    </w:pPr>
  </w:style>
  <w:style w:type="paragraph" w:styleId="ListContinue">
    <w:name w:val="List Continue"/>
    <w:basedOn w:val="List"/>
    <w:rsid w:val="00F01B83"/>
    <w:pPr>
      <w:ind w:firstLine="0"/>
    </w:pPr>
  </w:style>
  <w:style w:type="paragraph" w:customStyle="1" w:styleId="ListNote">
    <w:name w:val="List Note"/>
    <w:basedOn w:val="List"/>
    <w:rsid w:val="00F01B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B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B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B83"/>
    <w:rPr>
      <w:rFonts w:ascii="Courier New" w:hAnsi="Courier New"/>
    </w:rPr>
  </w:style>
  <w:style w:type="paragraph" w:customStyle="1" w:styleId="NoteBullet">
    <w:name w:val="Note Bullet"/>
    <w:basedOn w:val="Note"/>
    <w:rsid w:val="00F01B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B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B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B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B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1B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B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B83"/>
    <w:rPr>
      <w:b/>
      <w:smallCaps/>
    </w:rPr>
  </w:style>
  <w:style w:type="paragraph" w:customStyle="1" w:styleId="TableListNumber">
    <w:name w:val="Table List Number"/>
    <w:basedOn w:val="ListNumber"/>
    <w:rsid w:val="00F01B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B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B83"/>
    <w:pPr>
      <w:numPr>
        <w:numId w:val="8"/>
      </w:numPr>
    </w:pPr>
  </w:style>
  <w:style w:type="paragraph" w:customStyle="1" w:styleId="ListAlpha2">
    <w:name w:val="List Alpha 2"/>
    <w:basedOn w:val="List2"/>
    <w:rsid w:val="00F01B83"/>
    <w:pPr>
      <w:numPr>
        <w:numId w:val="7"/>
      </w:numPr>
    </w:pPr>
  </w:style>
  <w:style w:type="paragraph" w:styleId="List2">
    <w:name w:val="List 2"/>
    <w:basedOn w:val="BodyText"/>
    <w:rsid w:val="00F01B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B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B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B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B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B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B83"/>
    <w:pPr>
      <w:numPr>
        <w:numId w:val="3"/>
      </w:numPr>
    </w:pPr>
  </w:style>
  <w:style w:type="paragraph" w:styleId="ListContinue2">
    <w:name w:val="List Continue 2"/>
    <w:basedOn w:val="List2"/>
    <w:rsid w:val="00F01B83"/>
    <w:pPr>
      <w:ind w:firstLine="0"/>
    </w:pPr>
  </w:style>
  <w:style w:type="paragraph" w:styleId="ListContinue3">
    <w:name w:val="List Continue 3"/>
    <w:basedOn w:val="List3"/>
    <w:rsid w:val="00F01B83"/>
    <w:pPr>
      <w:ind w:left="1021" w:firstLine="0"/>
    </w:pPr>
  </w:style>
  <w:style w:type="paragraph" w:styleId="ListContinue4">
    <w:name w:val="List Continue 4"/>
    <w:basedOn w:val="List4"/>
    <w:rsid w:val="00F01B83"/>
    <w:pPr>
      <w:ind w:firstLine="0"/>
    </w:pPr>
  </w:style>
  <w:style w:type="paragraph" w:styleId="ListContinue5">
    <w:name w:val="List Continue 5"/>
    <w:basedOn w:val="List5"/>
    <w:rsid w:val="00F01B83"/>
    <w:pPr>
      <w:ind w:firstLine="0"/>
    </w:pPr>
  </w:style>
  <w:style w:type="paragraph" w:styleId="ListNumber3">
    <w:name w:val="List Number 3"/>
    <w:basedOn w:val="List3"/>
    <w:rsid w:val="00F01B83"/>
    <w:pPr>
      <w:numPr>
        <w:numId w:val="4"/>
      </w:numPr>
    </w:pPr>
  </w:style>
  <w:style w:type="paragraph" w:styleId="ListNumber4">
    <w:name w:val="List Number 4"/>
    <w:basedOn w:val="List4"/>
    <w:rsid w:val="00F01B83"/>
    <w:pPr>
      <w:numPr>
        <w:numId w:val="5"/>
      </w:numPr>
    </w:pPr>
  </w:style>
  <w:style w:type="paragraph" w:styleId="ListNumber5">
    <w:name w:val="List Number 5"/>
    <w:basedOn w:val="List5"/>
    <w:rsid w:val="00F01B83"/>
    <w:pPr>
      <w:numPr>
        <w:numId w:val="6"/>
      </w:numPr>
    </w:pPr>
  </w:style>
  <w:style w:type="paragraph" w:styleId="BlockText">
    <w:name w:val="Block Text"/>
    <w:basedOn w:val="Normal"/>
    <w:rsid w:val="00F01B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B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B83"/>
    <w:rPr>
      <w:sz w:val="16"/>
      <w:vertAlign w:val="superscript"/>
    </w:rPr>
  </w:style>
  <w:style w:type="character" w:customStyle="1" w:styleId="Symbols">
    <w:name w:val="Symbols"/>
    <w:basedOn w:val="DefaultParagraphFont"/>
    <w:rsid w:val="00F01B83"/>
    <w:rPr>
      <w:rFonts w:ascii="Symbol" w:hAnsi="Symbol"/>
    </w:rPr>
  </w:style>
  <w:style w:type="character" w:customStyle="1" w:styleId="MenuOptions">
    <w:name w:val="Menu Options"/>
    <w:basedOn w:val="DefaultParagraphFont"/>
    <w:rsid w:val="00F01B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B83"/>
    <w:rPr>
      <w:b/>
    </w:rPr>
  </w:style>
  <w:style w:type="character" w:customStyle="1" w:styleId="Underlined">
    <w:name w:val="Underlined"/>
    <w:basedOn w:val="DefaultParagraphFont"/>
    <w:rsid w:val="00F01B83"/>
    <w:rPr>
      <w:u w:val="single"/>
    </w:rPr>
  </w:style>
  <w:style w:type="paragraph" w:customStyle="1" w:styleId="TableBodyTextRight">
    <w:name w:val="Table Body Text Right"/>
    <w:basedOn w:val="TableBodyText"/>
    <w:rsid w:val="00F01B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B83"/>
    <w:rPr>
      <w:sz w:val="18"/>
    </w:rPr>
  </w:style>
  <w:style w:type="paragraph" w:customStyle="1" w:styleId="BodySmallRight">
    <w:name w:val="Body Small Right"/>
    <w:basedOn w:val="BodyTextRight"/>
    <w:rsid w:val="00F01B83"/>
    <w:rPr>
      <w:sz w:val="18"/>
      <w:szCs w:val="18"/>
    </w:rPr>
  </w:style>
  <w:style w:type="paragraph" w:customStyle="1" w:styleId="MarginEdition">
    <w:name w:val="Margin Edition"/>
    <w:basedOn w:val="MarginNote"/>
    <w:rsid w:val="00F01B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B83"/>
    <w:rPr>
      <w:sz w:val="2"/>
      <w:szCs w:val="2"/>
    </w:rPr>
  </w:style>
  <w:style w:type="character" w:customStyle="1" w:styleId="Small">
    <w:name w:val="Small"/>
    <w:basedOn w:val="DefaultParagraphFont"/>
    <w:rsid w:val="00F01B83"/>
    <w:rPr>
      <w:sz w:val="16"/>
    </w:rPr>
  </w:style>
  <w:style w:type="paragraph" w:customStyle="1" w:styleId="WideTable">
    <w:name w:val="Wide Table"/>
    <w:basedOn w:val="Normal"/>
    <w:rsid w:val="00F01B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B83"/>
  </w:style>
  <w:style w:type="paragraph" w:styleId="Quote">
    <w:name w:val="Quote"/>
    <w:basedOn w:val="Heading1"/>
    <w:link w:val="QuoteChar"/>
    <w:qFormat/>
    <w:rsid w:val="00F01B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B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B83"/>
    <w:pPr>
      <w:pageBreakBefore/>
    </w:pPr>
  </w:style>
  <w:style w:type="paragraph" w:customStyle="1" w:styleId="Border">
    <w:name w:val="Border"/>
    <w:basedOn w:val="Normal"/>
    <w:qFormat/>
    <w:rsid w:val="00F01B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B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B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B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B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B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B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B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B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B83"/>
    <w:rPr>
      <w:u w:val="single"/>
    </w:rPr>
  </w:style>
  <w:style w:type="character" w:customStyle="1" w:styleId="BoldandItalics">
    <w:name w:val="Bold and Italics"/>
    <w:qFormat/>
    <w:rsid w:val="00F01B83"/>
    <w:rPr>
      <w:b/>
      <w:i/>
      <w:u w:val="none"/>
    </w:rPr>
  </w:style>
  <w:style w:type="paragraph" w:styleId="BalloonText">
    <w:name w:val="Balloon Text"/>
    <w:basedOn w:val="Normal"/>
    <w:link w:val="BalloonTextChar"/>
    <w:rsid w:val="00F01B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B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B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B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B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B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B83"/>
    <w:pPr>
      <w:spacing w:before="0" w:after="0"/>
    </w:pPr>
  </w:style>
  <w:style w:type="paragraph" w:customStyle="1" w:styleId="BodyTextBold">
    <w:name w:val="Body Text Bold"/>
    <w:basedOn w:val="BodyText"/>
    <w:qFormat/>
    <w:rsid w:val="00F01B83"/>
    <w:rPr>
      <w:b/>
    </w:rPr>
  </w:style>
  <w:style w:type="character" w:styleId="Hyperlink">
    <w:name w:val="Hyperlink"/>
    <w:basedOn w:val="DefaultParagraphFont"/>
    <w:uiPriority w:val="99"/>
    <w:unhideWhenUsed/>
    <w:rsid w:val="00FA4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576</Words>
  <Characters>3831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TLIS3011 Test rail using nondestructive testing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