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5B1" w:rsidP="00F51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TLIS3009 Install mechanical signalling locking and interlocking devices</w:t>
      </w:r>
      <w:r>
        <w:fldChar w:fldCharType="end"/>
      </w:r>
    </w:p>
    <w:p w:rsidR="00F515B1" w:rsidP="00F515B1">
      <w:pPr>
        <w:pStyle w:val="Version"/>
        <w:sectPr w:rsidSect="00046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868" w:rsidP="00046868">
      <w:pPr>
        <w:pStyle w:val="SuperHeading"/>
      </w:pPr>
      <w:r w:rsidRPr="00046868">
        <w:t>TLIS3009 Install mechanical signalling locking and interlocking devices</w:t>
      </w:r>
    </w:p>
    <w:p w:rsidR="00000000" w:rsidRPr="00046868" w:rsidP="00046868">
      <w:pPr>
        <w:pStyle w:val="Heading1"/>
      </w:pPr>
      <w:bookmarkStart w:id="1" w:name="O_755799"/>
      <w:bookmarkEnd w:id="1"/>
      <w:r w:rsidRPr="00046868">
        <w:t>Modification History</w:t>
      </w:r>
    </w:p>
    <w:p w:rsidR="00F515B1" w:rsidP="00F515B1">
      <w:pPr>
        <w:pStyle w:val="BodyText"/>
      </w:pPr>
      <w:r w:rsidRPr="00046868">
        <w:t>Release 1. This is the first release of this unit of competency in the TLI Transport and Logistics Training Package.</w:t>
      </w:r>
    </w:p>
    <w:p w:rsidR="00000000" w:rsidRPr="00046868" w:rsidP="00046868">
      <w:pPr>
        <w:pStyle w:val="Heading1"/>
      </w:pPr>
      <w:bookmarkStart w:id="2" w:name="O_755800"/>
      <w:bookmarkEnd w:id="2"/>
      <w:r w:rsidRPr="0004686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t>This unit involves the skills and knowledge required to install mechanical signalling locking and interlocking devices in accordance with safeworking and regulatory requirements, and workplace procedures</w:t>
            </w:r>
          </w:p>
          <w:p w:rsidR="00000000" w:rsidRPr="00046868" w:rsidP="00046868">
            <w:pPr>
              <w:pStyle w:val="BodyText"/>
            </w:pPr>
            <w:r w:rsidRPr="00046868">
              <w:t>It includes assembling components, installing equip</w:t>
            </w:r>
            <w:r w:rsidRPr="00046868">
              <w:t>ment and components to specifications, and testing and adjusting equipment in accordance with workplace procedures.</w:t>
            </w:r>
          </w:p>
          <w:p w:rsidR="00000000" w:rsidRPr="00046868" w:rsidP="00046868">
            <w:pPr>
              <w:pStyle w:val="BodyText"/>
            </w:pPr>
            <w:r w:rsidRPr="00046868">
              <w:t>People achieving competence in this unit will need to fulfil the applicable state/territory legislated rail safety requirements and to compl</w:t>
            </w:r>
            <w:r w:rsidRPr="00046868">
              <w:t>y with relevant codes of practice and/or guidelines.</w:t>
            </w:r>
          </w:p>
          <w:p w:rsidR="00000000" w:rsidRPr="00046868" w:rsidP="00046868">
            <w:pPr>
              <w:pStyle w:val="BodyText"/>
            </w:pPr>
            <w:r w:rsidRPr="00046868">
              <w:t>Work is performed under minimal supervision, generally within a team environment.</w:t>
            </w:r>
          </w:p>
          <w:p w:rsidR="00000000" w:rsidRPr="00046868" w:rsidP="00046868">
            <w:pPr>
              <w:pStyle w:val="BodyText"/>
            </w:pPr>
            <w:r w:rsidRPr="00046868">
              <w:t>It involves the application of routine operational principles and procedures when installing mechanical signalling lockin</w:t>
            </w:r>
            <w:r w:rsidRPr="00046868">
              <w:t>g and interlocking devices, as part of workplace activities across a variety of operational contexts within the Australian rail system.</w:t>
            </w:r>
          </w:p>
          <w:p w:rsidR="00000000" w:rsidRPr="00046868" w:rsidP="00046868">
            <w:pPr>
              <w:pStyle w:val="BodyText"/>
            </w:pPr>
            <w:r w:rsidRPr="00046868">
              <w:t>No licensing, legislative or certification requirements apply to this unit at the time of publication.</w:t>
            </w:r>
          </w:p>
        </w:tc>
      </w:tr>
    </w:tbl>
    <w:p w:rsidR="00F515B1" w:rsidP="00046868">
      <w:pPr>
        <w:pStyle w:val="BodyText"/>
      </w:pPr>
    </w:p>
    <w:p w:rsidR="00F515B1" w:rsidP="00046868">
      <w:pPr>
        <w:pStyle w:val="BodyText"/>
      </w:pPr>
    </w:p>
    <w:p w:rsidR="00000000" w:rsidRPr="00046868" w:rsidP="00046868">
      <w:pPr>
        <w:pStyle w:val="Heading1"/>
      </w:pPr>
      <w:bookmarkStart w:id="3" w:name="O_755801"/>
      <w:bookmarkEnd w:id="3"/>
      <w:r w:rsidRPr="00046868">
        <w:t>Pre-requisite Unit</w:t>
      </w:r>
    </w:p>
    <w:p w:rsidR="00F515B1" w:rsidP="00F515B1">
      <w:pPr>
        <w:pStyle w:val="BodyText"/>
      </w:pPr>
      <w:r w:rsidRPr="00046868">
        <w:t>Not applicable.</w:t>
      </w:r>
    </w:p>
    <w:p w:rsidR="00000000" w:rsidRPr="00046868" w:rsidP="00046868">
      <w:pPr>
        <w:pStyle w:val="Heading1"/>
      </w:pPr>
      <w:bookmarkStart w:id="4" w:name="O_755802"/>
      <w:bookmarkEnd w:id="4"/>
      <w:r w:rsidRPr="00046868">
        <w:t>Competency Field</w:t>
      </w:r>
    </w:p>
    <w:p w:rsidR="00F515B1" w:rsidP="00F515B1">
      <w:pPr>
        <w:pStyle w:val="BodyText"/>
      </w:pPr>
      <w:r w:rsidRPr="00046868">
        <w:t>S – Construction and Installation</w:t>
      </w:r>
    </w:p>
    <w:p w:rsidR="00000000" w:rsidRPr="00046868" w:rsidP="00046868">
      <w:pPr>
        <w:pStyle w:val="Heading1"/>
      </w:pPr>
      <w:bookmarkStart w:id="5" w:name="O_755803"/>
      <w:bookmarkEnd w:id="5"/>
      <w:r w:rsidRPr="00046868">
        <w:t>Unit Sector</w:t>
      </w:r>
    </w:p>
    <w:p w:rsidR="00F515B1" w:rsidP="00F515B1">
      <w:pPr>
        <w:pStyle w:val="BodyText"/>
      </w:pPr>
      <w:r w:rsidRPr="00046868">
        <w:t>Not applicable.</w:t>
      </w:r>
    </w:p>
    <w:p w:rsidR="00000000" w:rsidRPr="00046868" w:rsidP="00046868">
      <w:pPr>
        <w:pStyle w:val="Heading1"/>
      </w:pPr>
      <w:bookmarkStart w:id="6" w:name="O_755804"/>
      <w:bookmarkEnd w:id="6"/>
      <w:r w:rsidRPr="000468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Performance criteria describe the performance needed to demonstrate achievement of the element.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Assemble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Correct components are identified and selected to comply with job specifications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Hazards are identified, risks are assessed and control measures are implemented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Equipment and components are pre-assembled and positioned for installation in compliance with work orders and job specifications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Install equipment and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Equipment/component layout is prepared and checked to ensure position matches job specifications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All fastening positions are marked and drilled for installation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Equipment and components are secured in correct sequence and position in compliance with job specifications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Additional requirements or alterations to existing components are identified and appropriate follow-up action is taken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Manufacturing of additional components is carried out to allow for complete installation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Alterations to existing components are carried out to provide for the installation of new equipment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All interlinking components are correctly attached and secured ready for testing in compliance with work specifications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Test and adjust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Required authorisation for tests is confirmed to ensure safe train operations may continue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 xml:space="preserve">Test </w:t>
            </w:r>
            <w:r w:rsidRPr="00046868">
              <w:t>procedures are coordinated and liaison with appropriate personnel is maintained to ensure overall safety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Appropriate tests are carried out to ensure all operations are within specifications and appropriate adjustments are made to ensure smooth operation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Testing is carried out to ensure functionality of all operations to the locking table</w:t>
            </w:r>
          </w:p>
        </w:tc>
      </w:tr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t>Operati</w:t>
            </w:r>
            <w:r w:rsidRPr="00046868">
              <w:t>onal readiness is confirmed and required documentation/certification is correctly completed and processed to allow for commissioning</w:t>
            </w:r>
          </w:p>
        </w:tc>
      </w:tr>
    </w:tbl>
    <w:p w:rsidR="00F515B1" w:rsidP="00046868">
      <w:pPr>
        <w:pStyle w:val="BodyText"/>
      </w:pPr>
    </w:p>
    <w:p w:rsidR="00F515B1" w:rsidP="00046868">
      <w:pPr>
        <w:pStyle w:val="BodyText"/>
      </w:pPr>
    </w:p>
    <w:p w:rsidR="00000000" w:rsidRPr="00046868" w:rsidP="00046868">
      <w:pPr>
        <w:pStyle w:val="Heading1"/>
      </w:pPr>
      <w:bookmarkStart w:id="7" w:name="O_755805"/>
      <w:bookmarkEnd w:id="7"/>
      <w:r w:rsidRPr="00046868">
        <w:t>Foundation Skills</w:t>
      </w:r>
    </w:p>
    <w:p w:rsidR="00F515B1" w:rsidP="00F515B1">
      <w:pPr>
        <w:pStyle w:val="BodyText"/>
      </w:pPr>
      <w:r w:rsidRPr="00046868">
        <w:t>Foundation skills essential to performance are explicit in the performance criteria o</w:t>
      </w:r>
      <w:r w:rsidRPr="00046868">
        <w:t>f this unit of competency.</w:t>
      </w:r>
    </w:p>
    <w:p w:rsidR="00000000" w:rsidRPr="00046868" w:rsidP="00046868">
      <w:pPr>
        <w:pStyle w:val="Heading1"/>
      </w:pPr>
      <w:bookmarkStart w:id="8" w:name="O_755806"/>
      <w:bookmarkEnd w:id="8"/>
      <w:r w:rsidRPr="0004686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515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t>Range is restricted to essential operating conditions and any other variables essential to the work environment.</w:t>
            </w:r>
          </w:p>
          <w:p w:rsidR="00000000" w:rsidRPr="00046868" w:rsidP="00046868">
            <w:pPr>
              <w:pStyle w:val="BodyText"/>
            </w:pPr>
            <w:r w:rsidRPr="00046868">
              <w:t>Non</w:t>
            </w:r>
            <w:r w:rsidRPr="00046868">
              <w:t>-essential conditions can be found in the Companion Volume Implementation Guide.</w:t>
            </w:r>
          </w:p>
        </w:tc>
      </w:tr>
    </w:tbl>
    <w:p w:rsidR="00F515B1" w:rsidP="00046868">
      <w:pPr>
        <w:pStyle w:val="BodyText"/>
      </w:pPr>
    </w:p>
    <w:p w:rsidR="00F515B1" w:rsidP="00046868">
      <w:pPr>
        <w:pStyle w:val="BodyText"/>
      </w:pPr>
    </w:p>
    <w:p w:rsidR="00000000" w:rsidRPr="00046868" w:rsidP="00046868">
      <w:pPr>
        <w:pStyle w:val="Heading1"/>
      </w:pPr>
      <w:bookmarkStart w:id="9" w:name="O_755807"/>
      <w:bookmarkEnd w:id="9"/>
      <w:r w:rsidRPr="00046868">
        <w:t>Unit Mapping Information</w:t>
      </w:r>
    </w:p>
    <w:p w:rsidR="00F515B1" w:rsidP="00F515B1">
      <w:pPr>
        <w:pStyle w:val="BodyText"/>
      </w:pPr>
      <w:r w:rsidRPr="00046868">
        <w:t>This unit replaces and is equivalent to TLIS3009A Install mechanical signalling locking and interlocking devices.</w:t>
      </w:r>
    </w:p>
    <w:p w:rsidR="00000000" w:rsidRPr="00046868" w:rsidP="00046868">
      <w:pPr>
        <w:pStyle w:val="Heading1"/>
      </w:pPr>
      <w:bookmarkStart w:id="10" w:name="O_755814"/>
      <w:bookmarkEnd w:id="10"/>
      <w:r w:rsidRPr="00046868">
        <w:t>Links</w:t>
      </w:r>
    </w:p>
    <w:p w:rsidR="00000000" w:rsidRPr="00046868" w:rsidP="00F515B1">
      <w:pPr>
        <w:pStyle w:val="BodyText"/>
      </w:pPr>
      <w:r w:rsidRPr="000468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45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6868" w:rsidP="00046868"/>
    <w:sectPr w:rsidSect="000468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 w:rsidRPr="00F515B1" w:rsidP="00F51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B1" w:rsidP="00046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5B1" w:rsidP="00046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15B1" w:rsidP="00046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868" w:rsidRPr="00F515B1" w:rsidP="00F51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B1" w:rsidRPr="002D2AF8" w:rsidP="00046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TLIS3009 Install mechanical signalling locking and interlocking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15B1" w:rsidP="00046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868"/>
  </w:style>
  <w:style w:type="character" w:customStyle="1" w:styleId="Heading1Char">
    <w:name w:val="Heading 1 Char"/>
    <w:basedOn w:val="DefaultParagraphFont"/>
    <w:link w:val="Heading1"/>
    <w:rsid w:val="00046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8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6868"/>
    <w:rPr>
      <w:b/>
      <w:spacing w:val="0"/>
    </w:rPr>
  </w:style>
  <w:style w:type="paragraph" w:customStyle="1" w:styleId="SuperHeading">
    <w:name w:val="SuperHeading"/>
    <w:basedOn w:val="Normal"/>
    <w:rsid w:val="00046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8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8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6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8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868"/>
    <w:rPr>
      <w:i/>
    </w:rPr>
  </w:style>
  <w:style w:type="paragraph" w:styleId="Caption">
    <w:name w:val="caption"/>
    <w:basedOn w:val="BodyText"/>
    <w:next w:val="Normal"/>
    <w:qFormat/>
    <w:rsid w:val="00046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868"/>
  </w:style>
  <w:style w:type="paragraph" w:styleId="TableofFigures">
    <w:name w:val="table of figures"/>
    <w:basedOn w:val="Normal"/>
    <w:next w:val="Normal"/>
    <w:semiHidden/>
    <w:rsid w:val="00046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8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6868"/>
    <w:rPr>
      <w:rFonts w:ascii="Wingdings" w:hAnsi="Wingdings"/>
    </w:rPr>
  </w:style>
  <w:style w:type="paragraph" w:customStyle="1" w:styleId="TableHeading">
    <w:name w:val="Table Heading"/>
    <w:basedOn w:val="HeadingBase"/>
    <w:rsid w:val="00046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868"/>
    <w:rPr>
      <w:color w:val="0033CC"/>
      <w:u w:val="none"/>
    </w:rPr>
  </w:style>
  <w:style w:type="paragraph" w:customStyle="1" w:styleId="BodyTextRight">
    <w:name w:val="Body Text Right"/>
    <w:basedOn w:val="BodyText"/>
    <w:rsid w:val="00046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8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868"/>
    <w:rPr>
      <w:sz w:val="32"/>
    </w:rPr>
  </w:style>
  <w:style w:type="paragraph" w:customStyle="1" w:styleId="HeadingProcedure">
    <w:name w:val="Heading Procedure"/>
    <w:basedOn w:val="HeadingBase"/>
    <w:next w:val="Normal"/>
    <w:rsid w:val="00046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868"/>
    <w:pPr>
      <w:spacing w:before="60" w:after="60"/>
    </w:pPr>
  </w:style>
  <w:style w:type="paragraph" w:styleId="ListContinue">
    <w:name w:val="List Continue"/>
    <w:basedOn w:val="List"/>
    <w:rsid w:val="00046868"/>
    <w:pPr>
      <w:ind w:firstLine="0"/>
    </w:pPr>
  </w:style>
  <w:style w:type="paragraph" w:customStyle="1" w:styleId="ListNote">
    <w:name w:val="List Note"/>
    <w:basedOn w:val="List"/>
    <w:rsid w:val="00046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868"/>
    <w:rPr>
      <w:rFonts w:ascii="Courier New" w:hAnsi="Courier New"/>
    </w:rPr>
  </w:style>
  <w:style w:type="paragraph" w:customStyle="1" w:styleId="NoteBullet">
    <w:name w:val="Note Bullet"/>
    <w:basedOn w:val="Note"/>
    <w:rsid w:val="00046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8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6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868"/>
    <w:rPr>
      <w:b/>
      <w:smallCaps/>
    </w:rPr>
  </w:style>
  <w:style w:type="paragraph" w:customStyle="1" w:styleId="TableListNumber">
    <w:name w:val="Table List Number"/>
    <w:basedOn w:val="ListNumber"/>
    <w:rsid w:val="00046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868"/>
    <w:pPr>
      <w:numPr>
        <w:numId w:val="7"/>
      </w:numPr>
    </w:pPr>
  </w:style>
  <w:style w:type="paragraph" w:customStyle="1" w:styleId="ListAlpha2">
    <w:name w:val="List Alpha 2"/>
    <w:basedOn w:val="List2"/>
    <w:rsid w:val="00046868"/>
    <w:pPr>
      <w:numPr>
        <w:numId w:val="6"/>
      </w:numPr>
    </w:pPr>
  </w:style>
  <w:style w:type="paragraph" w:styleId="List2">
    <w:name w:val="List 2"/>
    <w:basedOn w:val="BodyText"/>
    <w:rsid w:val="00046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8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8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6868"/>
    <w:pPr>
      <w:numPr>
        <w:numId w:val="2"/>
      </w:numPr>
    </w:pPr>
  </w:style>
  <w:style w:type="paragraph" w:styleId="ListContinue2">
    <w:name w:val="List Continue 2"/>
    <w:basedOn w:val="List2"/>
    <w:rsid w:val="00046868"/>
    <w:pPr>
      <w:ind w:firstLine="0"/>
    </w:pPr>
  </w:style>
  <w:style w:type="paragraph" w:styleId="ListContinue3">
    <w:name w:val="List Continue 3"/>
    <w:basedOn w:val="List3"/>
    <w:rsid w:val="00046868"/>
    <w:pPr>
      <w:ind w:left="1021" w:firstLine="0"/>
    </w:pPr>
  </w:style>
  <w:style w:type="paragraph" w:styleId="ListContinue4">
    <w:name w:val="List Continue 4"/>
    <w:basedOn w:val="List4"/>
    <w:rsid w:val="00046868"/>
    <w:pPr>
      <w:ind w:firstLine="0"/>
    </w:pPr>
  </w:style>
  <w:style w:type="paragraph" w:styleId="ListContinue5">
    <w:name w:val="List Continue 5"/>
    <w:basedOn w:val="List5"/>
    <w:rsid w:val="00046868"/>
    <w:pPr>
      <w:ind w:firstLine="0"/>
    </w:pPr>
  </w:style>
  <w:style w:type="paragraph" w:styleId="ListNumber3">
    <w:name w:val="List Number 3"/>
    <w:basedOn w:val="List3"/>
    <w:rsid w:val="00046868"/>
    <w:pPr>
      <w:numPr>
        <w:numId w:val="3"/>
      </w:numPr>
    </w:pPr>
  </w:style>
  <w:style w:type="paragraph" w:styleId="ListNumber4">
    <w:name w:val="List Number 4"/>
    <w:basedOn w:val="List4"/>
    <w:rsid w:val="00046868"/>
    <w:pPr>
      <w:numPr>
        <w:numId w:val="4"/>
      </w:numPr>
    </w:pPr>
  </w:style>
  <w:style w:type="paragraph" w:styleId="ListNumber5">
    <w:name w:val="List Number 5"/>
    <w:basedOn w:val="List5"/>
    <w:rsid w:val="00046868"/>
    <w:pPr>
      <w:numPr>
        <w:numId w:val="5"/>
      </w:numPr>
    </w:pPr>
  </w:style>
  <w:style w:type="paragraph" w:styleId="BlockText">
    <w:name w:val="Block Text"/>
    <w:basedOn w:val="Normal"/>
    <w:rsid w:val="00046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868"/>
    <w:rPr>
      <w:sz w:val="16"/>
      <w:vertAlign w:val="superscript"/>
    </w:rPr>
  </w:style>
  <w:style w:type="character" w:customStyle="1" w:styleId="Symbols">
    <w:name w:val="Symbols"/>
    <w:basedOn w:val="DefaultParagraphFont"/>
    <w:rsid w:val="00046868"/>
    <w:rPr>
      <w:rFonts w:ascii="Symbol" w:hAnsi="Symbol"/>
    </w:rPr>
  </w:style>
  <w:style w:type="character" w:customStyle="1" w:styleId="MenuOptions">
    <w:name w:val="Menu Options"/>
    <w:basedOn w:val="DefaultParagraphFont"/>
    <w:rsid w:val="00046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868"/>
    <w:rPr>
      <w:b/>
    </w:rPr>
  </w:style>
  <w:style w:type="character" w:customStyle="1" w:styleId="Underlined">
    <w:name w:val="Underlined"/>
    <w:basedOn w:val="DefaultParagraphFont"/>
    <w:rsid w:val="00046868"/>
    <w:rPr>
      <w:u w:val="single"/>
    </w:rPr>
  </w:style>
  <w:style w:type="paragraph" w:customStyle="1" w:styleId="TableBodyTextRight">
    <w:name w:val="Table Body Text Right"/>
    <w:basedOn w:val="TableBodyText"/>
    <w:rsid w:val="00046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868"/>
    <w:rPr>
      <w:sz w:val="18"/>
    </w:rPr>
  </w:style>
  <w:style w:type="paragraph" w:customStyle="1" w:styleId="BodySmallRight">
    <w:name w:val="Body Small Right"/>
    <w:basedOn w:val="BodyTextRight"/>
    <w:rsid w:val="00046868"/>
    <w:rPr>
      <w:sz w:val="18"/>
      <w:szCs w:val="18"/>
    </w:rPr>
  </w:style>
  <w:style w:type="paragraph" w:customStyle="1" w:styleId="MarginEdition">
    <w:name w:val="Margin Edition"/>
    <w:basedOn w:val="MarginNote"/>
    <w:rsid w:val="00046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868"/>
    <w:rPr>
      <w:sz w:val="2"/>
      <w:szCs w:val="2"/>
    </w:rPr>
  </w:style>
  <w:style w:type="character" w:customStyle="1" w:styleId="Small">
    <w:name w:val="Small"/>
    <w:basedOn w:val="DefaultParagraphFont"/>
    <w:rsid w:val="00046868"/>
    <w:rPr>
      <w:sz w:val="16"/>
    </w:rPr>
  </w:style>
  <w:style w:type="paragraph" w:customStyle="1" w:styleId="WideTable">
    <w:name w:val="Wide Table"/>
    <w:basedOn w:val="Normal"/>
    <w:rsid w:val="00046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868"/>
  </w:style>
  <w:style w:type="paragraph" w:styleId="Quote">
    <w:name w:val="Quote"/>
    <w:basedOn w:val="Heading1"/>
    <w:link w:val="QuoteChar"/>
    <w:qFormat/>
    <w:rsid w:val="00046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868"/>
    <w:pPr>
      <w:pageBreakBefore/>
    </w:pPr>
  </w:style>
  <w:style w:type="paragraph" w:customStyle="1" w:styleId="Border">
    <w:name w:val="Border"/>
    <w:basedOn w:val="Normal"/>
    <w:qFormat/>
    <w:rsid w:val="00046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868"/>
    <w:rPr>
      <w:u w:val="single"/>
    </w:rPr>
  </w:style>
  <w:style w:type="character" w:customStyle="1" w:styleId="BoldandItalics">
    <w:name w:val="Bold and Italics"/>
    <w:qFormat/>
    <w:rsid w:val="00046868"/>
    <w:rPr>
      <w:b/>
      <w:i/>
      <w:u w:val="none"/>
    </w:rPr>
  </w:style>
  <w:style w:type="paragraph" w:styleId="BalloonText">
    <w:name w:val="Balloon Text"/>
    <w:basedOn w:val="Normal"/>
    <w:link w:val="BalloonTextChar"/>
    <w:rsid w:val="00046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868"/>
    <w:pPr>
      <w:spacing w:before="0" w:after="0"/>
    </w:pPr>
  </w:style>
  <w:style w:type="paragraph" w:customStyle="1" w:styleId="BodyTextBold">
    <w:name w:val="Body Text Bold"/>
    <w:basedOn w:val="BodyText"/>
    <w:qFormat/>
    <w:rsid w:val="00046868"/>
    <w:rPr>
      <w:b/>
    </w:rPr>
  </w:style>
  <w:style w:type="character" w:styleId="Hyperlink">
    <w:name w:val="Hyperlink"/>
    <w:basedOn w:val="DefaultParagraphFont"/>
    <w:uiPriority w:val="99"/>
    <w:unhideWhenUsed/>
    <w:rsid w:val="00F51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3607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TLIS3009 Install mechanical signalling locking and interlocking devices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