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3200" w:rsidP="004C32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TLIS2034 Install and repair rail fastening systems</w:t>
      </w:r>
      <w:r>
        <w:fldChar w:fldCharType="end"/>
      </w:r>
    </w:p>
    <w:p w:rsidR="004C3200" w:rsidP="004C3200">
      <w:pPr>
        <w:pStyle w:val="Version"/>
        <w:sectPr w:rsidSect="00A14F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14F51" w:rsidP="00A14F51">
      <w:pPr>
        <w:pStyle w:val="SuperHeading"/>
      </w:pPr>
      <w:r w:rsidRPr="00A14F51">
        <w:t>TLIS2034 Install and repair rail fastening systems</w:t>
      </w:r>
    </w:p>
    <w:p w:rsidR="00000000" w:rsidRPr="00A14F51" w:rsidP="00A14F51">
      <w:pPr>
        <w:pStyle w:val="Heading1"/>
      </w:pPr>
      <w:bookmarkStart w:id="1" w:name="O_1120665"/>
      <w:bookmarkEnd w:id="1"/>
      <w:r w:rsidRPr="00A14F5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4F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51" w:rsidP="00A14F51">
            <w:pPr>
              <w:pStyle w:val="BodyText"/>
            </w:pPr>
            <w:r w:rsidRPr="00A14F51">
              <w:rPr>
                <w:rStyle w:val="SpecialBold"/>
              </w:rPr>
              <w:t>Release 2</w:t>
            </w:r>
            <w:r w:rsidRPr="00A14F51">
              <w:t>. This is the second release of this unit of competency in the TLI Transport and Logistics Training Package:</w:t>
            </w:r>
          </w:p>
          <w:p w:rsidR="00000000" w:rsidP="00A14F51">
            <w:pPr>
              <w:pStyle w:val="ListBullet"/>
              <w:rPr>
                <w:lang w:val="en-NZ"/>
              </w:rPr>
            </w:pPr>
            <w:r w:rsidRPr="00A14F51">
              <w:t>Minor statement changes in Assessment Conditions.</w:t>
            </w:r>
          </w:p>
        </w:tc>
      </w:tr>
      <w:tr w:rsidTr="00A14F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51" w:rsidP="00A14F51">
            <w:pPr>
              <w:pStyle w:val="BodyText"/>
            </w:pPr>
            <w:r w:rsidRPr="00A14F51">
              <w:rPr>
                <w:rStyle w:val="SpecialBold"/>
              </w:rPr>
              <w:t>Release 1</w:t>
            </w:r>
            <w:r w:rsidRPr="00A14F51">
              <w:t>. This is the first release of this unit of com</w:t>
            </w:r>
            <w:r w:rsidRPr="00A14F51">
              <w:t>petency in the TLI Transport and Logistics Training Package.</w:t>
            </w:r>
          </w:p>
        </w:tc>
      </w:tr>
    </w:tbl>
    <w:p w:rsidR="00000000" w:rsidRPr="00A14F51" w:rsidP="00A14F51">
      <w:pPr>
        <w:pStyle w:val="NoPaddingFontSize1"/>
      </w:pPr>
    </w:p>
    <w:p w:rsidR="00000000" w:rsidRPr="00A14F51" w:rsidP="00A14F51">
      <w:pPr>
        <w:pStyle w:val="AllowPageBreak"/>
      </w:pPr>
    </w:p>
    <w:p w:rsidR="00000000" w:rsidRPr="00A14F51" w:rsidP="00A14F51">
      <w:pPr>
        <w:pStyle w:val="Heading1"/>
      </w:pPr>
      <w:bookmarkStart w:id="2" w:name="O_1120664"/>
      <w:bookmarkEnd w:id="2"/>
      <w:r w:rsidRPr="00A14F5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4F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51" w:rsidP="00A14F51">
            <w:pPr>
              <w:pStyle w:val="BodyText"/>
            </w:pPr>
            <w:r w:rsidRPr="00A14F51">
              <w:t xml:space="preserve">This unit involves the skills and knowledge required to install and repair rail fastening systems in accordance with safeworking and regulatory requirements, and </w:t>
            </w:r>
            <w:r w:rsidRPr="00A14F51">
              <w:t>workplace procedures.</w:t>
            </w:r>
          </w:p>
          <w:p w:rsidR="00000000" w:rsidRPr="00A14F51" w:rsidP="00A14F51">
            <w:pPr>
              <w:pStyle w:val="BodyText"/>
            </w:pPr>
            <w:r w:rsidRPr="00A14F51">
              <w:t>It includes identifying work requirements, installing the fastening system, repairing the fastening system and completing all required documentation.</w:t>
            </w:r>
          </w:p>
          <w:p w:rsidR="00000000" w:rsidRPr="00A14F51" w:rsidP="00A14F51">
            <w:pPr>
              <w:pStyle w:val="BodyText"/>
            </w:pPr>
            <w:r w:rsidRPr="00A14F51">
              <w:t>People achieving competence in this unit will need to fulfil the applicable state/te</w:t>
            </w:r>
            <w:r w:rsidRPr="00A14F51">
              <w:t>rritory legislated rail safety requirements and to comply with relevant codes of practice and/or guidelines.</w:t>
            </w:r>
          </w:p>
          <w:p w:rsidR="00000000" w:rsidRPr="00A14F51" w:rsidP="00A14F51">
            <w:pPr>
              <w:pStyle w:val="BodyText"/>
            </w:pPr>
            <w:r w:rsidRPr="00A14F51">
              <w:t>Work is performed under some supervision, generally within a team environment. It involves the application of routine operational principles and pr</w:t>
            </w:r>
            <w:r w:rsidRPr="00A14F51">
              <w:t>ocedures when installing and repairing rail fastening systems, as part of workplace activities across a variety of operational contexts within the Australian rail system.</w:t>
            </w:r>
          </w:p>
          <w:p w:rsidR="00000000" w:rsidRPr="00A14F51" w:rsidP="00A14F51">
            <w:pPr>
              <w:pStyle w:val="BodyText"/>
            </w:pPr>
            <w:r w:rsidRPr="00A14F51">
              <w:t>Operators of mechanised equipment must have undertaken training and, where appropriat</w:t>
            </w:r>
            <w:r w:rsidRPr="00A14F51">
              <w:t>e, hold the relevant licence, permit or certificate and be recognised as competent for the class of machinery being used.</w:t>
            </w:r>
          </w:p>
        </w:tc>
      </w:tr>
    </w:tbl>
    <w:p w:rsidR="00000000" w:rsidRPr="00A14F51" w:rsidP="00A14F51">
      <w:pPr>
        <w:pStyle w:val="NoPaddingFontSize1"/>
      </w:pPr>
    </w:p>
    <w:p w:rsidR="00000000" w:rsidRPr="00A14F51" w:rsidP="00A14F51">
      <w:pPr>
        <w:pStyle w:val="AllowPageBreak"/>
      </w:pPr>
    </w:p>
    <w:p w:rsidR="00000000" w:rsidRPr="00A14F51" w:rsidP="00A14F51">
      <w:pPr>
        <w:pStyle w:val="Heading1"/>
      </w:pPr>
      <w:bookmarkStart w:id="3" w:name="O_1120663"/>
      <w:bookmarkEnd w:id="3"/>
      <w:r w:rsidRPr="00A14F5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4F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51" w:rsidP="00A14F51">
            <w:pPr>
              <w:pStyle w:val="BodyText"/>
            </w:pPr>
            <w:r w:rsidRPr="00A14F51">
              <w:t>Not applicable.</w:t>
            </w:r>
          </w:p>
        </w:tc>
      </w:tr>
    </w:tbl>
    <w:p w:rsidR="00000000" w:rsidRPr="00A14F51" w:rsidP="00A14F51">
      <w:pPr>
        <w:pStyle w:val="NoPaddingFontSize1"/>
      </w:pPr>
    </w:p>
    <w:p w:rsidR="00000000" w:rsidRPr="00A14F51" w:rsidP="00A14F51">
      <w:pPr>
        <w:pStyle w:val="AllowPageBreak"/>
      </w:pPr>
    </w:p>
    <w:p w:rsidR="00000000" w:rsidRPr="00A14F51" w:rsidP="00A14F51">
      <w:pPr>
        <w:pStyle w:val="Heading1"/>
      </w:pPr>
      <w:bookmarkStart w:id="4" w:name="O_1120662"/>
      <w:bookmarkEnd w:id="4"/>
      <w:r w:rsidRPr="00A14F5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4F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51" w:rsidP="00A14F51">
            <w:pPr>
              <w:pStyle w:val="BodyText"/>
            </w:pPr>
            <w:r w:rsidRPr="00A14F51">
              <w:t>S – Construction and Installation</w:t>
            </w:r>
          </w:p>
        </w:tc>
      </w:tr>
    </w:tbl>
    <w:p w:rsidR="00000000" w:rsidRPr="00A14F51" w:rsidP="00A14F51">
      <w:pPr>
        <w:pStyle w:val="NoPaddingFontSize1"/>
      </w:pPr>
    </w:p>
    <w:p w:rsidR="00000000" w:rsidRPr="00A14F51" w:rsidP="00A14F51">
      <w:pPr>
        <w:pStyle w:val="AllowPageBreak"/>
      </w:pPr>
    </w:p>
    <w:p w:rsidR="00000000" w:rsidRPr="00A14F51" w:rsidP="00A14F51">
      <w:pPr>
        <w:pStyle w:val="Heading1"/>
      </w:pPr>
      <w:bookmarkStart w:id="5" w:name="O_1120661"/>
      <w:bookmarkEnd w:id="5"/>
      <w:r w:rsidRPr="00A14F5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4F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51" w:rsidP="00A14F51">
            <w:pPr>
              <w:pStyle w:val="BodyText"/>
            </w:pPr>
            <w:r w:rsidRPr="00A14F51">
              <w:t>Rail sector.</w:t>
            </w:r>
          </w:p>
        </w:tc>
      </w:tr>
    </w:tbl>
    <w:p w:rsidR="00000000" w:rsidRPr="00A14F51" w:rsidP="00A14F51">
      <w:pPr>
        <w:pStyle w:val="NoPaddingFontSize1"/>
      </w:pPr>
    </w:p>
    <w:p w:rsidR="00000000" w:rsidRPr="00A14F51" w:rsidP="00A14F51">
      <w:pPr>
        <w:pStyle w:val="AllowPageBreak"/>
      </w:pPr>
    </w:p>
    <w:p w:rsidR="00000000" w:rsidRPr="00A14F51" w:rsidP="00A14F51">
      <w:pPr>
        <w:pStyle w:val="Heading1"/>
      </w:pPr>
      <w:bookmarkStart w:id="6" w:name="O_1120660"/>
      <w:bookmarkEnd w:id="6"/>
      <w:r w:rsidRPr="00A14F5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14F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51" w:rsidP="00A14F51">
            <w:pPr>
              <w:pStyle w:val="BodyText"/>
            </w:pPr>
            <w:r w:rsidRPr="00A14F5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51">
            <w:pPr>
              <w:pStyle w:val="BodyText"/>
              <w:rPr>
                <w:lang w:val="en-NZ"/>
              </w:rPr>
            </w:pPr>
            <w:r w:rsidRPr="00A14F51">
              <w:rPr>
                <w:rStyle w:val="SpecialBold"/>
              </w:rPr>
              <w:t>PERFORMANCE CRITERIA</w:t>
            </w:r>
          </w:p>
        </w:tc>
      </w:tr>
      <w:tr w:rsidTr="00A14F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51">
            <w:pPr>
              <w:pStyle w:val="BodyText"/>
              <w:rPr>
                <w:lang w:val="en-NZ"/>
              </w:rPr>
            </w:pPr>
            <w:r w:rsidRPr="00A14F5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51">
            <w:pPr>
              <w:pStyle w:val="BodyText"/>
              <w:rPr>
                <w:lang w:val="en-NZ"/>
              </w:rPr>
            </w:pPr>
            <w:r w:rsidRPr="00A14F51">
              <w:t>Performance criteria describe the performance needed to demonstrate achievement of the element.</w:t>
            </w:r>
          </w:p>
        </w:tc>
      </w:tr>
      <w:tr w:rsidTr="00A14F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51" w:rsidP="00A14F51">
            <w:pPr>
              <w:pStyle w:val="BodyText"/>
            </w:pPr>
            <w:r w:rsidRPr="00A14F5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51" w:rsidP="00A14F51">
            <w:pPr>
              <w:pStyle w:val="BodyText"/>
            </w:pPr>
            <w:r w:rsidRPr="00A14F51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51">
            <w:pPr>
              <w:pStyle w:val="BodyText"/>
              <w:rPr>
                <w:lang w:val="en-NZ"/>
              </w:rPr>
            </w:pPr>
            <w:r w:rsidRPr="00A14F5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51">
            <w:pPr>
              <w:pStyle w:val="BodyText"/>
              <w:rPr>
                <w:lang w:val="en-NZ"/>
              </w:rPr>
            </w:pPr>
            <w:r w:rsidRPr="00A14F51">
              <w:t>Worksite is identified to confirm work requirements</w:t>
            </w:r>
          </w:p>
        </w:tc>
      </w:tr>
      <w:tr w:rsidTr="00A14F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51">
            <w:pPr>
              <w:pStyle w:val="BodyText"/>
              <w:rPr>
                <w:lang w:val="en-NZ"/>
              </w:rPr>
            </w:pPr>
            <w:r w:rsidRPr="00A14F5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51">
            <w:pPr>
              <w:pStyle w:val="BodyText"/>
              <w:rPr>
                <w:lang w:val="en-NZ"/>
              </w:rPr>
            </w:pPr>
            <w:r w:rsidRPr="00A14F51">
              <w:t>Appropriate fastening system is chosen to suit job requirements</w:t>
            </w:r>
          </w:p>
        </w:tc>
      </w:tr>
      <w:tr w:rsidTr="00A14F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51">
            <w:pPr>
              <w:pStyle w:val="BodyText"/>
              <w:rPr>
                <w:lang w:val="en-NZ"/>
              </w:rPr>
            </w:pPr>
            <w:r w:rsidRPr="00A14F5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51">
            <w:pPr>
              <w:pStyle w:val="BodyText"/>
              <w:rPr>
                <w:lang w:val="en-NZ"/>
              </w:rPr>
            </w:pPr>
            <w:r w:rsidRPr="00A14F51">
              <w:t>Hazards are identified, risks are assessed and control measures are implemented</w:t>
            </w:r>
          </w:p>
        </w:tc>
      </w:tr>
      <w:tr w:rsidTr="00A14F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51">
            <w:pPr>
              <w:pStyle w:val="BodyText"/>
              <w:rPr>
                <w:lang w:val="en-NZ"/>
              </w:rPr>
            </w:pPr>
            <w:r w:rsidRPr="00A14F5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51">
            <w:pPr>
              <w:pStyle w:val="BodyText"/>
              <w:rPr>
                <w:lang w:val="en-NZ"/>
              </w:rPr>
            </w:pPr>
            <w:r w:rsidRPr="00A14F51">
              <w:t>Appropriate tools and equipment are selected for job to facilitate the effective replacement/repair of components</w:t>
            </w:r>
          </w:p>
        </w:tc>
      </w:tr>
      <w:tr w:rsidTr="00A14F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51" w:rsidP="00A14F51">
            <w:pPr>
              <w:pStyle w:val="BodyText"/>
            </w:pPr>
            <w:r w:rsidRPr="00A14F5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51" w:rsidP="00A14F51">
            <w:pPr>
              <w:pStyle w:val="BodyText"/>
            </w:pPr>
            <w:r w:rsidRPr="00A14F51">
              <w:rPr>
                <w:rStyle w:val="SpecialBold"/>
              </w:rPr>
              <w:t>Install fastening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51">
            <w:pPr>
              <w:pStyle w:val="BodyText"/>
              <w:rPr>
                <w:lang w:val="en-NZ"/>
              </w:rPr>
            </w:pPr>
            <w:r w:rsidRPr="00A14F5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51">
            <w:pPr>
              <w:pStyle w:val="BodyText"/>
              <w:rPr>
                <w:lang w:val="en-NZ"/>
              </w:rPr>
            </w:pPr>
            <w:r w:rsidRPr="00A14F51">
              <w:t xml:space="preserve">Required rail industry </w:t>
            </w:r>
            <w:r w:rsidRPr="00A14F51">
              <w:t>standards for installing fastening systems are confirmed</w:t>
            </w:r>
          </w:p>
        </w:tc>
      </w:tr>
      <w:tr w:rsidTr="00A14F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51">
            <w:pPr>
              <w:pStyle w:val="BodyText"/>
              <w:rPr>
                <w:lang w:val="en-NZ"/>
              </w:rPr>
            </w:pPr>
            <w:r w:rsidRPr="00A14F5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51">
            <w:pPr>
              <w:pStyle w:val="BodyText"/>
              <w:rPr>
                <w:lang w:val="en-NZ"/>
              </w:rPr>
            </w:pPr>
            <w:r w:rsidRPr="00A14F51">
              <w:t>Selected fastening systems are installed using appropriate tools and equipment in accordance with rail industry standards</w:t>
            </w:r>
          </w:p>
        </w:tc>
      </w:tr>
      <w:tr w:rsidTr="00A14F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51">
            <w:pPr>
              <w:pStyle w:val="BodyText"/>
              <w:rPr>
                <w:lang w:val="en-NZ"/>
              </w:rPr>
            </w:pPr>
            <w:r w:rsidRPr="00A14F5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51">
            <w:pPr>
              <w:pStyle w:val="BodyText"/>
              <w:rPr>
                <w:lang w:val="en-NZ"/>
              </w:rPr>
            </w:pPr>
            <w:r w:rsidRPr="00A14F51">
              <w:t>Tools and equipment are stored after use</w:t>
            </w:r>
          </w:p>
        </w:tc>
      </w:tr>
      <w:tr w:rsidTr="00A14F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51" w:rsidP="00A14F51">
            <w:pPr>
              <w:pStyle w:val="BodyText"/>
            </w:pPr>
            <w:r w:rsidRPr="00A14F5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51" w:rsidP="00A14F51">
            <w:pPr>
              <w:pStyle w:val="BodyText"/>
            </w:pPr>
            <w:r w:rsidRPr="00A14F51">
              <w:rPr>
                <w:rStyle w:val="SpecialBold"/>
              </w:rPr>
              <w:t>Repair fastening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51">
            <w:pPr>
              <w:pStyle w:val="BodyText"/>
              <w:rPr>
                <w:lang w:val="en-NZ"/>
              </w:rPr>
            </w:pPr>
            <w:r w:rsidRPr="00A14F5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51">
            <w:pPr>
              <w:pStyle w:val="BodyText"/>
              <w:rPr>
                <w:lang w:val="en-NZ"/>
              </w:rPr>
            </w:pPr>
            <w:r w:rsidRPr="00A14F51">
              <w:t>Appropriate method is chosen to repair fastening system</w:t>
            </w:r>
          </w:p>
        </w:tc>
      </w:tr>
      <w:tr w:rsidTr="00A14F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51">
            <w:pPr>
              <w:pStyle w:val="BodyText"/>
              <w:rPr>
                <w:lang w:val="en-NZ"/>
              </w:rPr>
            </w:pPr>
            <w:r w:rsidRPr="00A14F5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51">
            <w:pPr>
              <w:pStyle w:val="BodyText"/>
              <w:rPr>
                <w:lang w:val="en-NZ"/>
              </w:rPr>
            </w:pPr>
            <w:r w:rsidRPr="00A14F51">
              <w:t>Required standards for repairing fastening systems are confirmed</w:t>
            </w:r>
          </w:p>
        </w:tc>
      </w:tr>
      <w:tr w:rsidTr="00A14F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51">
            <w:pPr>
              <w:pStyle w:val="BodyText"/>
              <w:rPr>
                <w:lang w:val="en-NZ"/>
              </w:rPr>
            </w:pPr>
            <w:r w:rsidRPr="00A14F5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51">
            <w:pPr>
              <w:pStyle w:val="BodyText"/>
              <w:rPr>
                <w:lang w:val="en-NZ"/>
              </w:rPr>
            </w:pPr>
            <w:r w:rsidRPr="00A14F51">
              <w:t>Fastening systems are repaired to maintain integrity of rail fastening systems in accordance with rail industry standards</w:t>
            </w:r>
          </w:p>
        </w:tc>
      </w:tr>
      <w:tr w:rsidTr="00A14F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51">
            <w:pPr>
              <w:pStyle w:val="BodyText"/>
              <w:rPr>
                <w:lang w:val="en-NZ"/>
              </w:rPr>
            </w:pPr>
            <w:r w:rsidRPr="00A14F5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51">
            <w:pPr>
              <w:pStyle w:val="BodyText"/>
              <w:rPr>
                <w:lang w:val="en-NZ"/>
              </w:rPr>
            </w:pPr>
            <w:r w:rsidRPr="00A14F51">
              <w:t>Tools and equipment are stored after use</w:t>
            </w:r>
          </w:p>
        </w:tc>
      </w:tr>
      <w:tr w:rsidTr="00A14F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51" w:rsidP="00A14F51">
            <w:pPr>
              <w:pStyle w:val="BodyText"/>
            </w:pPr>
            <w:r w:rsidRPr="00A14F51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51" w:rsidP="00A14F51">
            <w:pPr>
              <w:pStyle w:val="BodyText"/>
            </w:pPr>
            <w:r w:rsidRPr="00A14F51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51">
            <w:pPr>
              <w:pStyle w:val="BodyText"/>
              <w:rPr>
                <w:lang w:val="en-NZ"/>
              </w:rPr>
            </w:pPr>
            <w:r w:rsidRPr="00A14F51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51">
            <w:pPr>
              <w:pStyle w:val="BodyText"/>
              <w:rPr>
                <w:lang w:val="en-NZ"/>
              </w:rPr>
            </w:pPr>
            <w:r w:rsidRPr="00A14F51">
              <w:t>Required documentation procedures and processes are conf</w:t>
            </w:r>
            <w:r w:rsidRPr="00A14F51">
              <w:t>irmed</w:t>
            </w:r>
          </w:p>
        </w:tc>
      </w:tr>
      <w:tr w:rsidTr="00A14F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51">
            <w:pPr>
              <w:pStyle w:val="BodyText"/>
              <w:rPr>
                <w:lang w:val="en-NZ"/>
              </w:rPr>
            </w:pPr>
            <w:r w:rsidRPr="00A14F51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51">
            <w:pPr>
              <w:pStyle w:val="BodyText"/>
              <w:rPr>
                <w:lang w:val="en-NZ"/>
              </w:rPr>
            </w:pPr>
            <w:r w:rsidRPr="00A14F51">
              <w:t>Documentation is filled in legibly and proofread</w:t>
            </w:r>
          </w:p>
        </w:tc>
      </w:tr>
      <w:tr w:rsidTr="00A14F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51">
            <w:pPr>
              <w:pStyle w:val="BodyText"/>
              <w:rPr>
                <w:lang w:val="en-NZ"/>
              </w:rPr>
            </w:pPr>
            <w:r w:rsidRPr="00A14F51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51" w:rsidP="00A14F51">
            <w:pPr>
              <w:pStyle w:val="BodyText"/>
            </w:pPr>
            <w:r w:rsidRPr="00A14F51">
              <w:t>Documentation is processed in accordance with workplace requirements</w:t>
            </w:r>
          </w:p>
        </w:tc>
      </w:tr>
    </w:tbl>
    <w:p w:rsidR="00000000" w:rsidRPr="00A14F51" w:rsidP="00A14F51">
      <w:pPr>
        <w:pStyle w:val="NoPaddingFontSize1"/>
      </w:pPr>
    </w:p>
    <w:p w:rsidR="00000000" w:rsidRPr="00A14F51" w:rsidP="00A14F51">
      <w:pPr>
        <w:pStyle w:val="AllowPageBreak"/>
      </w:pPr>
    </w:p>
    <w:p w:rsidR="00000000" w:rsidRPr="00A14F51" w:rsidP="00A14F51">
      <w:pPr>
        <w:pStyle w:val="Heading1"/>
      </w:pPr>
      <w:bookmarkStart w:id="7" w:name="O_1120659"/>
      <w:bookmarkEnd w:id="7"/>
      <w:r w:rsidRPr="00A14F5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4F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51" w:rsidP="00A14F51">
            <w:pPr>
              <w:pStyle w:val="BodyText"/>
            </w:pPr>
            <w:r w:rsidRPr="00A14F51">
              <w:t>Foundation skills essential to performance are explicit in the performance crit</w:t>
            </w:r>
            <w:r w:rsidRPr="00A14F51">
              <w:t xml:space="preserve">eria of this unit of </w:t>
            </w:r>
            <w:r w:rsidRPr="00A14F51">
              <w:t>competency.</w:t>
            </w:r>
          </w:p>
        </w:tc>
      </w:tr>
    </w:tbl>
    <w:p w:rsidR="00000000" w:rsidRPr="00A14F51" w:rsidP="00A14F51">
      <w:pPr>
        <w:pStyle w:val="NoPaddingFontSize1"/>
      </w:pPr>
    </w:p>
    <w:p w:rsidR="00000000" w:rsidRPr="00A14F51" w:rsidP="00A14F51">
      <w:pPr>
        <w:pStyle w:val="AllowPageBreak"/>
      </w:pPr>
    </w:p>
    <w:p w:rsidR="00000000" w:rsidRPr="00A14F51" w:rsidP="00A14F51">
      <w:pPr>
        <w:pStyle w:val="Heading1"/>
      </w:pPr>
      <w:bookmarkStart w:id="8" w:name="O_1120658"/>
      <w:bookmarkEnd w:id="8"/>
      <w:r w:rsidRPr="00A14F5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4F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51" w:rsidP="00A14F51">
            <w:pPr>
              <w:pStyle w:val="BodyText"/>
            </w:pPr>
            <w:r w:rsidRPr="00A14F51">
              <w:t>Range is restricted to essential operating conditions and any other variables essential to the work environment.</w:t>
            </w:r>
          </w:p>
        </w:tc>
      </w:tr>
    </w:tbl>
    <w:p w:rsidR="00000000" w:rsidRPr="00A14F51" w:rsidP="00A14F51">
      <w:pPr>
        <w:pStyle w:val="NoPaddingFontSize1"/>
      </w:pPr>
    </w:p>
    <w:p w:rsidR="00000000" w:rsidRPr="00A14F51" w:rsidP="00A14F51">
      <w:pPr>
        <w:pStyle w:val="AllowPageBreak"/>
      </w:pPr>
    </w:p>
    <w:p w:rsidR="00000000" w:rsidRPr="00A14F51" w:rsidP="00A14F51">
      <w:pPr>
        <w:pStyle w:val="Heading1"/>
      </w:pPr>
      <w:bookmarkStart w:id="9" w:name="O_1120657"/>
      <w:bookmarkEnd w:id="9"/>
      <w:r w:rsidRPr="00A14F5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4F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51" w:rsidP="00A14F51">
            <w:pPr>
              <w:pStyle w:val="BodyText"/>
            </w:pPr>
            <w:r w:rsidRPr="00A14F51">
              <w:t xml:space="preserve">This unit </w:t>
            </w:r>
            <w:r w:rsidRPr="00A14F51">
              <w:t>replaces and is equivalent to TLIS2034A Install and repair rail fastening systems.</w:t>
            </w:r>
          </w:p>
        </w:tc>
      </w:tr>
    </w:tbl>
    <w:p w:rsidR="00000000" w:rsidRPr="00A14F51" w:rsidP="00A14F51">
      <w:pPr>
        <w:pStyle w:val="NoPaddingFontSize1"/>
      </w:pPr>
    </w:p>
    <w:p w:rsidR="00000000" w:rsidRPr="00A14F51" w:rsidP="00A14F51">
      <w:pPr>
        <w:pStyle w:val="AllowPageBreak"/>
      </w:pPr>
    </w:p>
    <w:p w:rsidR="00000000" w:rsidRPr="00A14F51" w:rsidP="00A14F51">
      <w:pPr>
        <w:pStyle w:val="Heading1"/>
      </w:pPr>
      <w:bookmarkStart w:id="10" w:name="O_1120666"/>
      <w:bookmarkEnd w:id="10"/>
      <w:r w:rsidRPr="00A14F51">
        <w:t>Links</w:t>
      </w:r>
    </w:p>
    <w:p w:rsidR="00000000" w:rsidRPr="00A14F51" w:rsidP="004C3200">
      <w:pPr>
        <w:pStyle w:val="BodyText"/>
      </w:pPr>
      <w:r w:rsidRPr="00A14F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B752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14F51" w:rsidP="00A14F51"/>
    <w:sectPr w:rsidSect="00A14F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F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F51" w:rsidRPr="004C3200" w:rsidP="004C32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F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200" w:rsidP="00A14F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3200" w:rsidP="00A14F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C3200" w:rsidP="00A14F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F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2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4F51" w:rsidRPr="004C3200" w:rsidP="004C32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F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200" w:rsidRPr="002D2AF8" w:rsidP="00A14F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TLIS2034 Install and repair rail fastening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4C3200" w:rsidP="00A14F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3E75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6C0A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4F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4F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4F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4F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4F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4F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4F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4F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4F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4F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4F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4F51"/>
  </w:style>
  <w:style w:type="character" w:customStyle="1" w:styleId="Heading1Char">
    <w:name w:val="Heading 1 Char"/>
    <w:basedOn w:val="DefaultParagraphFont"/>
    <w:link w:val="Heading1"/>
    <w:rsid w:val="00A14F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4F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4F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4F5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4F51"/>
    <w:rPr>
      <w:b/>
      <w:spacing w:val="0"/>
    </w:rPr>
  </w:style>
  <w:style w:type="paragraph" w:customStyle="1" w:styleId="SuperHeading">
    <w:name w:val="SuperHeading"/>
    <w:basedOn w:val="Normal"/>
    <w:rsid w:val="00A14F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4F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14F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4F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4F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4F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4F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4F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4F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4F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4F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4F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4F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4F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4F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4F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4F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4F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4F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4F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4F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4F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4F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4F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4F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4F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4F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4F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4F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4F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4F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4F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4F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4F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4F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4F51"/>
    <w:rPr>
      <w:i/>
    </w:rPr>
  </w:style>
  <w:style w:type="paragraph" w:styleId="Caption">
    <w:name w:val="caption"/>
    <w:basedOn w:val="BodyText"/>
    <w:next w:val="Normal"/>
    <w:qFormat/>
    <w:rsid w:val="00A14F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4F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4F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4F51"/>
  </w:style>
  <w:style w:type="paragraph" w:styleId="TableofFigures">
    <w:name w:val="table of figures"/>
    <w:basedOn w:val="Normal"/>
    <w:next w:val="Normal"/>
    <w:semiHidden/>
    <w:rsid w:val="00A14F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4F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4F51"/>
    <w:rPr>
      <w:rFonts w:ascii="Wingdings" w:hAnsi="Wingdings"/>
    </w:rPr>
  </w:style>
  <w:style w:type="paragraph" w:customStyle="1" w:styleId="TableHeading">
    <w:name w:val="Table Heading"/>
    <w:basedOn w:val="HeadingBase"/>
    <w:rsid w:val="00A14F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4F51"/>
    <w:rPr>
      <w:color w:val="0033CC"/>
      <w:u w:val="none"/>
    </w:rPr>
  </w:style>
  <w:style w:type="paragraph" w:customStyle="1" w:styleId="BodyTextRight">
    <w:name w:val="Body Text Right"/>
    <w:basedOn w:val="BodyText"/>
    <w:rsid w:val="00A14F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4F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4F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4F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4F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4F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4F51"/>
    <w:rPr>
      <w:sz w:val="32"/>
    </w:rPr>
  </w:style>
  <w:style w:type="paragraph" w:customStyle="1" w:styleId="HeadingProcedure">
    <w:name w:val="Heading Procedure"/>
    <w:basedOn w:val="HeadingBase"/>
    <w:next w:val="Normal"/>
    <w:rsid w:val="00A14F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4F51"/>
    <w:pPr>
      <w:spacing w:before="60" w:after="60"/>
    </w:pPr>
  </w:style>
  <w:style w:type="paragraph" w:styleId="ListContinue">
    <w:name w:val="List Continue"/>
    <w:basedOn w:val="List"/>
    <w:rsid w:val="00A14F51"/>
    <w:pPr>
      <w:ind w:firstLine="0"/>
    </w:pPr>
  </w:style>
  <w:style w:type="paragraph" w:customStyle="1" w:styleId="ListNote">
    <w:name w:val="List Note"/>
    <w:basedOn w:val="List"/>
    <w:rsid w:val="00A14F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4F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4F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4F51"/>
    <w:rPr>
      <w:rFonts w:ascii="Courier New" w:hAnsi="Courier New"/>
    </w:rPr>
  </w:style>
  <w:style w:type="paragraph" w:customStyle="1" w:styleId="NoteBullet">
    <w:name w:val="Note Bullet"/>
    <w:basedOn w:val="Note"/>
    <w:rsid w:val="00A14F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4F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4F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4F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4F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4F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4F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4F51"/>
    <w:rPr>
      <w:b/>
      <w:smallCaps/>
    </w:rPr>
  </w:style>
  <w:style w:type="paragraph" w:customStyle="1" w:styleId="TableListNumber">
    <w:name w:val="Table List Number"/>
    <w:basedOn w:val="ListNumber"/>
    <w:rsid w:val="00A14F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4F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4F51"/>
    <w:pPr>
      <w:numPr>
        <w:numId w:val="8"/>
      </w:numPr>
    </w:pPr>
  </w:style>
  <w:style w:type="paragraph" w:customStyle="1" w:styleId="ListAlpha2">
    <w:name w:val="List Alpha 2"/>
    <w:basedOn w:val="List2"/>
    <w:rsid w:val="00A14F51"/>
    <w:pPr>
      <w:numPr>
        <w:numId w:val="7"/>
      </w:numPr>
    </w:pPr>
  </w:style>
  <w:style w:type="paragraph" w:styleId="List2">
    <w:name w:val="List 2"/>
    <w:basedOn w:val="BodyText"/>
    <w:rsid w:val="00A14F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4F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4F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4F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4F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4F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4F51"/>
    <w:pPr>
      <w:numPr>
        <w:numId w:val="3"/>
      </w:numPr>
    </w:pPr>
  </w:style>
  <w:style w:type="paragraph" w:styleId="ListContinue2">
    <w:name w:val="List Continue 2"/>
    <w:basedOn w:val="List2"/>
    <w:rsid w:val="00A14F51"/>
    <w:pPr>
      <w:ind w:firstLine="0"/>
    </w:pPr>
  </w:style>
  <w:style w:type="paragraph" w:styleId="ListContinue3">
    <w:name w:val="List Continue 3"/>
    <w:basedOn w:val="List3"/>
    <w:rsid w:val="00A14F51"/>
    <w:pPr>
      <w:ind w:left="1021" w:firstLine="0"/>
    </w:pPr>
  </w:style>
  <w:style w:type="paragraph" w:styleId="ListContinue4">
    <w:name w:val="List Continue 4"/>
    <w:basedOn w:val="List4"/>
    <w:rsid w:val="00A14F51"/>
    <w:pPr>
      <w:ind w:firstLine="0"/>
    </w:pPr>
  </w:style>
  <w:style w:type="paragraph" w:styleId="ListContinue5">
    <w:name w:val="List Continue 5"/>
    <w:basedOn w:val="List5"/>
    <w:rsid w:val="00A14F51"/>
    <w:pPr>
      <w:ind w:firstLine="0"/>
    </w:pPr>
  </w:style>
  <w:style w:type="paragraph" w:styleId="ListNumber3">
    <w:name w:val="List Number 3"/>
    <w:basedOn w:val="List3"/>
    <w:rsid w:val="00A14F51"/>
    <w:pPr>
      <w:numPr>
        <w:numId w:val="4"/>
      </w:numPr>
    </w:pPr>
  </w:style>
  <w:style w:type="paragraph" w:styleId="ListNumber4">
    <w:name w:val="List Number 4"/>
    <w:basedOn w:val="List4"/>
    <w:rsid w:val="00A14F51"/>
    <w:pPr>
      <w:numPr>
        <w:numId w:val="5"/>
      </w:numPr>
    </w:pPr>
  </w:style>
  <w:style w:type="paragraph" w:styleId="ListNumber5">
    <w:name w:val="List Number 5"/>
    <w:basedOn w:val="List5"/>
    <w:rsid w:val="00A14F51"/>
    <w:pPr>
      <w:numPr>
        <w:numId w:val="6"/>
      </w:numPr>
    </w:pPr>
  </w:style>
  <w:style w:type="paragraph" w:styleId="BlockText">
    <w:name w:val="Block Text"/>
    <w:basedOn w:val="Normal"/>
    <w:rsid w:val="00A14F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4F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4F51"/>
    <w:rPr>
      <w:sz w:val="16"/>
      <w:vertAlign w:val="superscript"/>
    </w:rPr>
  </w:style>
  <w:style w:type="character" w:customStyle="1" w:styleId="Symbols">
    <w:name w:val="Symbols"/>
    <w:basedOn w:val="DefaultParagraphFont"/>
    <w:rsid w:val="00A14F51"/>
    <w:rPr>
      <w:rFonts w:ascii="Symbol" w:hAnsi="Symbol"/>
    </w:rPr>
  </w:style>
  <w:style w:type="character" w:customStyle="1" w:styleId="MenuOptions">
    <w:name w:val="Menu Options"/>
    <w:basedOn w:val="DefaultParagraphFont"/>
    <w:rsid w:val="00A14F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4F51"/>
    <w:rPr>
      <w:b/>
    </w:rPr>
  </w:style>
  <w:style w:type="character" w:customStyle="1" w:styleId="Underlined">
    <w:name w:val="Underlined"/>
    <w:basedOn w:val="DefaultParagraphFont"/>
    <w:rsid w:val="00A14F51"/>
    <w:rPr>
      <w:u w:val="single"/>
    </w:rPr>
  </w:style>
  <w:style w:type="paragraph" w:customStyle="1" w:styleId="TableBodyTextRight">
    <w:name w:val="Table Body Text Right"/>
    <w:basedOn w:val="TableBodyText"/>
    <w:rsid w:val="00A14F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4F51"/>
    <w:rPr>
      <w:sz w:val="18"/>
    </w:rPr>
  </w:style>
  <w:style w:type="paragraph" w:customStyle="1" w:styleId="BodySmallRight">
    <w:name w:val="Body Small Right"/>
    <w:basedOn w:val="BodyTextRight"/>
    <w:rsid w:val="00A14F51"/>
    <w:rPr>
      <w:sz w:val="18"/>
      <w:szCs w:val="18"/>
    </w:rPr>
  </w:style>
  <w:style w:type="paragraph" w:customStyle="1" w:styleId="MarginEdition">
    <w:name w:val="Margin Edition"/>
    <w:basedOn w:val="MarginNote"/>
    <w:rsid w:val="00A14F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4F51"/>
    <w:rPr>
      <w:sz w:val="2"/>
      <w:szCs w:val="2"/>
    </w:rPr>
  </w:style>
  <w:style w:type="character" w:customStyle="1" w:styleId="Small">
    <w:name w:val="Small"/>
    <w:basedOn w:val="DefaultParagraphFont"/>
    <w:rsid w:val="00A14F51"/>
    <w:rPr>
      <w:sz w:val="16"/>
    </w:rPr>
  </w:style>
  <w:style w:type="paragraph" w:customStyle="1" w:styleId="WideTable">
    <w:name w:val="Wide Table"/>
    <w:basedOn w:val="Normal"/>
    <w:rsid w:val="00A14F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4F51"/>
  </w:style>
  <w:style w:type="paragraph" w:styleId="Quote">
    <w:name w:val="Quote"/>
    <w:basedOn w:val="Heading1"/>
    <w:link w:val="QuoteChar"/>
    <w:qFormat/>
    <w:rsid w:val="00A14F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4F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4F51"/>
    <w:pPr>
      <w:pageBreakBefore/>
    </w:pPr>
  </w:style>
  <w:style w:type="paragraph" w:customStyle="1" w:styleId="Border">
    <w:name w:val="Border"/>
    <w:basedOn w:val="Normal"/>
    <w:qFormat/>
    <w:rsid w:val="00A14F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4F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4F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4F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4F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4F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4F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4F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4F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4F51"/>
    <w:rPr>
      <w:u w:val="single"/>
    </w:rPr>
  </w:style>
  <w:style w:type="character" w:customStyle="1" w:styleId="BoldandItalics">
    <w:name w:val="Bold and Italics"/>
    <w:qFormat/>
    <w:rsid w:val="00A14F51"/>
    <w:rPr>
      <w:b/>
      <w:i/>
      <w:u w:val="none"/>
    </w:rPr>
  </w:style>
  <w:style w:type="paragraph" w:styleId="BalloonText">
    <w:name w:val="Balloon Text"/>
    <w:basedOn w:val="Normal"/>
    <w:link w:val="BalloonTextChar"/>
    <w:rsid w:val="00A14F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4F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4F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4F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4F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4F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4F51"/>
    <w:pPr>
      <w:spacing w:before="0" w:after="0"/>
    </w:pPr>
  </w:style>
  <w:style w:type="paragraph" w:customStyle="1" w:styleId="BodyTextBold">
    <w:name w:val="Body Text Bold"/>
    <w:basedOn w:val="BodyText"/>
    <w:qFormat/>
    <w:rsid w:val="00A14F51"/>
    <w:rPr>
      <w:b/>
    </w:rPr>
  </w:style>
  <w:style w:type="character" w:styleId="Hyperlink">
    <w:name w:val="Hyperlink"/>
    <w:basedOn w:val="DefaultParagraphFont"/>
    <w:uiPriority w:val="99"/>
    <w:unhideWhenUsed/>
    <w:rsid w:val="004C32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510</Words>
  <Characters>3224</Characters>
  <Application>Microsoft Office Word</Application>
  <DocSecurity>0</DocSecurity>
  <Lines>146</Lines>
  <Paragraphs>82</Paragraphs>
  <ScaleCrop>false</ScaleCrop>
  <Company>Author-it Software Corporation Ltd.</Company>
  <LinksUpToDate>false</LinksUpToDate>
  <CharactersWithSpaces>3652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TLIS2034 Install and repair rail fastening systems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2024-07-12T08:11:00Z</dcterms:created>
  <dcterms:modified xsi:type="dcterms:W3CDTF">2024-07-12T08:11:00Z</dcterms:modified>
</cp:coreProperties>
</file>