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1E7" w:rsidP="00FB3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TLIS2012 Install and service rail lubrication equipment</w:t>
      </w:r>
      <w:r>
        <w:fldChar w:fldCharType="end"/>
      </w:r>
    </w:p>
    <w:p w:rsidR="00FB31E7" w:rsidP="00FB31E7">
      <w:pPr>
        <w:pStyle w:val="Version"/>
        <w:sectPr w:rsidSect="00FC7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70AF" w:rsidP="00FC70AF">
      <w:pPr>
        <w:pStyle w:val="SuperHeading"/>
      </w:pPr>
      <w:r w:rsidRPr="00FC70AF">
        <w:t>TLIS2012 Install and service rail lubrication equipment</w:t>
      </w:r>
    </w:p>
    <w:p w:rsidR="00000000" w:rsidRPr="00FC70AF" w:rsidP="00FC70AF">
      <w:pPr>
        <w:pStyle w:val="Heading1"/>
      </w:pPr>
      <w:bookmarkStart w:id="1" w:name="O_1120485"/>
      <w:bookmarkEnd w:id="1"/>
      <w:r w:rsidRPr="00FC70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Release 2. This is the second release of this unit of competency in the TLI Transport and Logistics Training Package:</w:t>
            </w:r>
          </w:p>
          <w:p w:rsidR="00000000" w:rsidRPr="00FC70AF" w:rsidP="00FC70AF">
            <w:pPr>
              <w:pStyle w:val="ListBullet"/>
            </w:pPr>
            <w:r w:rsidRPr="00FC70AF">
              <w:t>Minor statement added in Knowledge Evidence</w:t>
            </w:r>
          </w:p>
          <w:p w:rsidR="00000000" w:rsidP="00FC70AF">
            <w:pPr>
              <w:pStyle w:val="ListBullet"/>
              <w:rPr>
                <w:lang w:val="en-NZ"/>
              </w:rPr>
            </w:pPr>
            <w:r w:rsidRPr="00FC70AF">
              <w:t>Minor statement changes in Assessment Conditions.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Rel</w:t>
            </w:r>
            <w:r w:rsidRPr="00FC70AF">
              <w:t>ease 1. This is the first release of this unit of competency in the TLI Transport and Logistics Training Package.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2" w:name="O_1120484"/>
      <w:bookmarkEnd w:id="2"/>
      <w:r w:rsidRPr="00FC70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This unit involves the skills and knowledge required to install and service rail lubrication equipment in acc</w:t>
            </w:r>
            <w:r w:rsidRPr="00FC70AF">
              <w:t>ordance with safeworking and regulatory requirements, and workplace procedures.</w:t>
            </w:r>
          </w:p>
          <w:p w:rsidR="00000000" w:rsidRPr="00FC70AF" w:rsidP="00FC70AF">
            <w:pPr>
              <w:pStyle w:val="BodyText"/>
            </w:pPr>
            <w:r w:rsidRPr="00FC70AF">
              <w:t>It includes installing the lubrication equipment, servicing and monitoring the lubrication equipment, removing lubrication equipment and completing all required documentation.</w:t>
            </w:r>
          </w:p>
          <w:p w:rsidR="00000000" w:rsidRPr="00FC70AF" w:rsidP="00FC70AF">
            <w:pPr>
              <w:pStyle w:val="BodyText"/>
            </w:pPr>
            <w:r w:rsidRPr="00FC70AF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FC70AF" w:rsidP="00FC70AF">
            <w:pPr>
              <w:pStyle w:val="BodyText"/>
            </w:pPr>
            <w:r w:rsidRPr="00FC70AF">
              <w:t>Work is performed under some supervision, generally within a te</w:t>
            </w:r>
            <w:r w:rsidRPr="00FC70AF">
              <w:t>am environment.</w:t>
            </w:r>
          </w:p>
          <w:p w:rsidR="00000000" w:rsidRPr="00FC70AF" w:rsidP="00FC70AF">
            <w:pPr>
              <w:pStyle w:val="BodyText"/>
            </w:pPr>
            <w:r w:rsidRPr="00FC70AF">
              <w:t>It involves the application of routine operational principles and procedures when installing and servicing rail lubrication equipment, as</w:t>
            </w:r>
            <w:r w:rsidRPr="00FC70AF">
              <w:t xml:space="preserve"> part of workplace activities across a variety of operational contexts within the Australian rail system.</w:t>
            </w:r>
          </w:p>
          <w:p w:rsidR="00000000" w:rsidRPr="00FC70AF" w:rsidP="00FC70AF">
            <w:pPr>
              <w:pStyle w:val="BodyText"/>
            </w:pPr>
            <w:r w:rsidRPr="00FC70AF">
              <w:t>No licensing, legislative or certification requirements apply to this unit at the time of publication.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3" w:name="O_1120483"/>
      <w:bookmarkEnd w:id="3"/>
      <w:r w:rsidRPr="00FC70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Not app</w:t>
            </w:r>
            <w:r w:rsidRPr="00FC70AF">
              <w:t>licable.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4" w:name="O_1120482"/>
      <w:bookmarkEnd w:id="4"/>
      <w:r w:rsidRPr="00FC70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S ‒ Construction and Installation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5" w:name="O_1120481"/>
      <w:bookmarkEnd w:id="5"/>
      <w:r w:rsidRPr="00FC70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Rail sector.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6" w:name="O_1120480"/>
      <w:bookmarkEnd w:id="6"/>
      <w:r w:rsidRPr="00FC70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PERFORMANCE CRITERIA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Performance criteria describe the performance needed to demonstrate achievement of the element.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Install lubricator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Work location is identified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Hazards are identified, risks are assessed and control measures are implemented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Rail is correctly prepared at lubrication site to enable correct fitting of lubricator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Lubricator is installed and tested to ensure correct functionality in accordance with workplace procedures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Service and monitor lubricator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Lubricator is cle</w:t>
            </w:r>
            <w:r w:rsidRPr="00FC70AF">
              <w:t>aned and correctly adjusted to ensure correct functionality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Parts are replaced as required to ensure correct functionality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Lubricator is filled with appropriate lubricant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Lubricator is checked and adjusted to maintain correct functionality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Remove lubricator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Preparations for the removal of the lubricator are made in accordance with workplace procedures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Lubricator is correctly removed and stowed in accordance with workplace procedures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Required documentation procedures and processes are confirmed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t>Documentation is filled in legibly and proofread</w:t>
            </w:r>
          </w:p>
        </w:tc>
      </w:tr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AF">
            <w:pPr>
              <w:pStyle w:val="BodyText"/>
              <w:rPr>
                <w:lang w:val="en-NZ"/>
              </w:rPr>
            </w:pPr>
            <w:r w:rsidRPr="00FC70A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Documentation is processed in accordance with workplace procedures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7" w:name="O_1120479"/>
      <w:bookmarkEnd w:id="7"/>
      <w:r w:rsidRPr="00FC70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Foundation skills essential to performance are explicit in the performance criteria of this unit of competency.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8" w:name="O_1120478"/>
      <w:bookmarkEnd w:id="8"/>
      <w:r w:rsidRPr="00FC70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Range is restricted to essential operating conditions and any other variables essential to the work environment.</w:t>
            </w:r>
          </w:p>
          <w:p w:rsidR="00000000" w:rsidRPr="00FC70AF" w:rsidP="00FC70AF">
            <w:pPr>
              <w:pStyle w:val="BodyText"/>
            </w:pPr>
            <w:r w:rsidRPr="00FC70AF">
              <w:t>Non-essential conditions can be found in the TLI Transport and Logistics Training Package Companion Volume Implementation G</w:t>
            </w:r>
            <w:r w:rsidRPr="00FC70AF">
              <w:t>uide.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9" w:name="O_1120477"/>
      <w:bookmarkEnd w:id="9"/>
      <w:r w:rsidRPr="00FC70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AF" w:rsidP="00FC70AF">
            <w:pPr>
              <w:pStyle w:val="BodyText"/>
            </w:pPr>
            <w:r w:rsidRPr="00FC70AF">
              <w:t>This unit replaces and is equivalent to TLIS2012A Install and service rail lubrication equipment.</w:t>
            </w:r>
          </w:p>
        </w:tc>
      </w:tr>
    </w:tbl>
    <w:p w:rsidR="00000000" w:rsidRPr="00FC70AF" w:rsidP="00FC70AF">
      <w:pPr>
        <w:pStyle w:val="NoPaddingFontSize1"/>
      </w:pPr>
    </w:p>
    <w:p w:rsidR="00000000" w:rsidRPr="00FC70AF" w:rsidP="00FC70AF">
      <w:pPr>
        <w:pStyle w:val="AllowPageBreak"/>
      </w:pPr>
    </w:p>
    <w:p w:rsidR="00000000" w:rsidRPr="00FC70AF" w:rsidP="00FC70AF">
      <w:pPr>
        <w:pStyle w:val="Heading1"/>
      </w:pPr>
      <w:bookmarkStart w:id="10" w:name="O_1120486"/>
      <w:bookmarkEnd w:id="10"/>
      <w:r w:rsidRPr="00FC70AF">
        <w:t>Links</w:t>
      </w:r>
    </w:p>
    <w:p w:rsidR="00000000" w:rsidRPr="00FC70AF" w:rsidP="00FB31E7">
      <w:pPr>
        <w:pStyle w:val="BodyText"/>
      </w:pPr>
      <w:r w:rsidRPr="00FC7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5A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70AF" w:rsidP="00FC70AF"/>
    <w:sectPr w:rsidSect="00FC7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AF" w:rsidRPr="00FB31E7" w:rsidP="00FB3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E7" w:rsidP="00FC7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1E7" w:rsidP="00FC7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31E7" w:rsidP="00FC7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0AF" w:rsidRPr="00FB31E7" w:rsidP="00FB3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E7" w:rsidRPr="002D2AF8" w:rsidP="00FC7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TLIS2012 Install and service rail lubrication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B31E7" w:rsidP="00FC7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84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9A3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0AF"/>
  </w:style>
  <w:style w:type="character" w:customStyle="1" w:styleId="Heading1Char">
    <w:name w:val="Heading 1 Char"/>
    <w:basedOn w:val="DefaultParagraphFont"/>
    <w:link w:val="Heading1"/>
    <w:rsid w:val="00FC7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0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0AF"/>
    <w:rPr>
      <w:b/>
      <w:spacing w:val="0"/>
    </w:rPr>
  </w:style>
  <w:style w:type="paragraph" w:customStyle="1" w:styleId="SuperHeading">
    <w:name w:val="SuperHeading"/>
    <w:basedOn w:val="Normal"/>
    <w:rsid w:val="00FC7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7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0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0AF"/>
    <w:rPr>
      <w:i/>
    </w:rPr>
  </w:style>
  <w:style w:type="paragraph" w:styleId="Caption">
    <w:name w:val="caption"/>
    <w:basedOn w:val="BodyText"/>
    <w:next w:val="Normal"/>
    <w:qFormat/>
    <w:rsid w:val="00FC7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0AF"/>
  </w:style>
  <w:style w:type="paragraph" w:styleId="TableofFigures">
    <w:name w:val="table of figures"/>
    <w:basedOn w:val="Normal"/>
    <w:next w:val="Normal"/>
    <w:semiHidden/>
    <w:rsid w:val="00FC7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0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0AF"/>
    <w:rPr>
      <w:rFonts w:ascii="Wingdings" w:hAnsi="Wingdings"/>
    </w:rPr>
  </w:style>
  <w:style w:type="paragraph" w:customStyle="1" w:styleId="TableHeading">
    <w:name w:val="Table Heading"/>
    <w:basedOn w:val="HeadingBase"/>
    <w:rsid w:val="00FC7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0AF"/>
    <w:rPr>
      <w:color w:val="0033CC"/>
      <w:u w:val="none"/>
    </w:rPr>
  </w:style>
  <w:style w:type="paragraph" w:customStyle="1" w:styleId="BodyTextRight">
    <w:name w:val="Body Text Right"/>
    <w:basedOn w:val="BodyText"/>
    <w:rsid w:val="00FC7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0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0AF"/>
    <w:rPr>
      <w:sz w:val="32"/>
    </w:rPr>
  </w:style>
  <w:style w:type="paragraph" w:customStyle="1" w:styleId="HeadingProcedure">
    <w:name w:val="Heading Procedure"/>
    <w:basedOn w:val="HeadingBase"/>
    <w:next w:val="Normal"/>
    <w:rsid w:val="00FC7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0AF"/>
    <w:pPr>
      <w:spacing w:before="60" w:after="60"/>
    </w:pPr>
  </w:style>
  <w:style w:type="paragraph" w:styleId="ListContinue">
    <w:name w:val="List Continue"/>
    <w:basedOn w:val="List"/>
    <w:rsid w:val="00FC70AF"/>
    <w:pPr>
      <w:ind w:firstLine="0"/>
    </w:pPr>
  </w:style>
  <w:style w:type="paragraph" w:customStyle="1" w:styleId="ListNote">
    <w:name w:val="List Note"/>
    <w:basedOn w:val="List"/>
    <w:rsid w:val="00FC7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0AF"/>
    <w:rPr>
      <w:rFonts w:ascii="Courier New" w:hAnsi="Courier New"/>
    </w:rPr>
  </w:style>
  <w:style w:type="paragraph" w:customStyle="1" w:styleId="NoteBullet">
    <w:name w:val="Note Bullet"/>
    <w:basedOn w:val="Note"/>
    <w:rsid w:val="00FC7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0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0AF"/>
    <w:rPr>
      <w:b/>
      <w:smallCaps/>
    </w:rPr>
  </w:style>
  <w:style w:type="paragraph" w:customStyle="1" w:styleId="TableListNumber">
    <w:name w:val="Table List Number"/>
    <w:basedOn w:val="ListNumber"/>
    <w:rsid w:val="00FC7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0AF"/>
    <w:pPr>
      <w:numPr>
        <w:numId w:val="8"/>
      </w:numPr>
    </w:pPr>
  </w:style>
  <w:style w:type="paragraph" w:customStyle="1" w:styleId="ListAlpha2">
    <w:name w:val="List Alpha 2"/>
    <w:basedOn w:val="List2"/>
    <w:rsid w:val="00FC70AF"/>
    <w:pPr>
      <w:numPr>
        <w:numId w:val="7"/>
      </w:numPr>
    </w:pPr>
  </w:style>
  <w:style w:type="paragraph" w:styleId="List2">
    <w:name w:val="List 2"/>
    <w:basedOn w:val="BodyText"/>
    <w:rsid w:val="00FC7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0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0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0AF"/>
    <w:pPr>
      <w:numPr>
        <w:numId w:val="3"/>
      </w:numPr>
    </w:pPr>
  </w:style>
  <w:style w:type="paragraph" w:styleId="ListContinue2">
    <w:name w:val="List Continue 2"/>
    <w:basedOn w:val="List2"/>
    <w:rsid w:val="00FC70AF"/>
    <w:pPr>
      <w:ind w:firstLine="0"/>
    </w:pPr>
  </w:style>
  <w:style w:type="paragraph" w:styleId="ListContinue3">
    <w:name w:val="List Continue 3"/>
    <w:basedOn w:val="List3"/>
    <w:rsid w:val="00FC70AF"/>
    <w:pPr>
      <w:ind w:left="1021" w:firstLine="0"/>
    </w:pPr>
  </w:style>
  <w:style w:type="paragraph" w:styleId="ListContinue4">
    <w:name w:val="List Continue 4"/>
    <w:basedOn w:val="List4"/>
    <w:rsid w:val="00FC70AF"/>
    <w:pPr>
      <w:ind w:firstLine="0"/>
    </w:pPr>
  </w:style>
  <w:style w:type="paragraph" w:styleId="ListContinue5">
    <w:name w:val="List Continue 5"/>
    <w:basedOn w:val="List5"/>
    <w:rsid w:val="00FC70AF"/>
    <w:pPr>
      <w:ind w:firstLine="0"/>
    </w:pPr>
  </w:style>
  <w:style w:type="paragraph" w:styleId="ListNumber3">
    <w:name w:val="List Number 3"/>
    <w:basedOn w:val="List3"/>
    <w:rsid w:val="00FC70AF"/>
    <w:pPr>
      <w:numPr>
        <w:numId w:val="4"/>
      </w:numPr>
    </w:pPr>
  </w:style>
  <w:style w:type="paragraph" w:styleId="ListNumber4">
    <w:name w:val="List Number 4"/>
    <w:basedOn w:val="List4"/>
    <w:rsid w:val="00FC70AF"/>
    <w:pPr>
      <w:numPr>
        <w:numId w:val="5"/>
      </w:numPr>
    </w:pPr>
  </w:style>
  <w:style w:type="paragraph" w:styleId="ListNumber5">
    <w:name w:val="List Number 5"/>
    <w:basedOn w:val="List5"/>
    <w:rsid w:val="00FC70AF"/>
    <w:pPr>
      <w:numPr>
        <w:numId w:val="6"/>
      </w:numPr>
    </w:pPr>
  </w:style>
  <w:style w:type="paragraph" w:styleId="BlockText">
    <w:name w:val="Block Text"/>
    <w:basedOn w:val="Normal"/>
    <w:rsid w:val="00FC7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0AF"/>
    <w:rPr>
      <w:sz w:val="16"/>
      <w:vertAlign w:val="superscript"/>
    </w:rPr>
  </w:style>
  <w:style w:type="character" w:customStyle="1" w:styleId="Symbols">
    <w:name w:val="Symbols"/>
    <w:basedOn w:val="DefaultParagraphFont"/>
    <w:rsid w:val="00FC70AF"/>
    <w:rPr>
      <w:rFonts w:ascii="Symbol" w:hAnsi="Symbol"/>
    </w:rPr>
  </w:style>
  <w:style w:type="character" w:customStyle="1" w:styleId="MenuOptions">
    <w:name w:val="Menu Options"/>
    <w:basedOn w:val="DefaultParagraphFont"/>
    <w:rsid w:val="00FC7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0AF"/>
    <w:rPr>
      <w:b/>
    </w:rPr>
  </w:style>
  <w:style w:type="character" w:customStyle="1" w:styleId="Underlined">
    <w:name w:val="Underlined"/>
    <w:basedOn w:val="DefaultParagraphFont"/>
    <w:rsid w:val="00FC70AF"/>
    <w:rPr>
      <w:u w:val="single"/>
    </w:rPr>
  </w:style>
  <w:style w:type="paragraph" w:customStyle="1" w:styleId="TableBodyTextRight">
    <w:name w:val="Table Body Text Right"/>
    <w:basedOn w:val="TableBodyText"/>
    <w:rsid w:val="00FC7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0AF"/>
    <w:rPr>
      <w:sz w:val="18"/>
    </w:rPr>
  </w:style>
  <w:style w:type="paragraph" w:customStyle="1" w:styleId="BodySmallRight">
    <w:name w:val="Body Small Right"/>
    <w:basedOn w:val="BodyTextRight"/>
    <w:rsid w:val="00FC70AF"/>
    <w:rPr>
      <w:sz w:val="18"/>
      <w:szCs w:val="18"/>
    </w:rPr>
  </w:style>
  <w:style w:type="paragraph" w:customStyle="1" w:styleId="MarginEdition">
    <w:name w:val="Margin Edition"/>
    <w:basedOn w:val="MarginNote"/>
    <w:rsid w:val="00FC7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0AF"/>
    <w:rPr>
      <w:sz w:val="2"/>
      <w:szCs w:val="2"/>
    </w:rPr>
  </w:style>
  <w:style w:type="character" w:customStyle="1" w:styleId="Small">
    <w:name w:val="Small"/>
    <w:basedOn w:val="DefaultParagraphFont"/>
    <w:rsid w:val="00FC70AF"/>
    <w:rPr>
      <w:sz w:val="16"/>
    </w:rPr>
  </w:style>
  <w:style w:type="paragraph" w:customStyle="1" w:styleId="WideTable">
    <w:name w:val="Wide Table"/>
    <w:basedOn w:val="Normal"/>
    <w:rsid w:val="00FC7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0AF"/>
  </w:style>
  <w:style w:type="paragraph" w:styleId="Quote">
    <w:name w:val="Quote"/>
    <w:basedOn w:val="Heading1"/>
    <w:link w:val="QuoteChar"/>
    <w:qFormat/>
    <w:rsid w:val="00FC7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0AF"/>
    <w:pPr>
      <w:pageBreakBefore/>
    </w:pPr>
  </w:style>
  <w:style w:type="paragraph" w:customStyle="1" w:styleId="Border">
    <w:name w:val="Border"/>
    <w:basedOn w:val="Normal"/>
    <w:qFormat/>
    <w:rsid w:val="00FC7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0AF"/>
    <w:rPr>
      <w:u w:val="single"/>
    </w:rPr>
  </w:style>
  <w:style w:type="character" w:customStyle="1" w:styleId="BoldandItalics">
    <w:name w:val="Bold and Italics"/>
    <w:qFormat/>
    <w:rsid w:val="00FC70AF"/>
    <w:rPr>
      <w:b/>
      <w:i/>
      <w:u w:val="none"/>
    </w:rPr>
  </w:style>
  <w:style w:type="paragraph" w:styleId="BalloonText">
    <w:name w:val="Balloon Text"/>
    <w:basedOn w:val="Normal"/>
    <w:link w:val="BalloonTextChar"/>
    <w:rsid w:val="00FC7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0AF"/>
    <w:pPr>
      <w:spacing w:before="0" w:after="0"/>
    </w:pPr>
  </w:style>
  <w:style w:type="paragraph" w:customStyle="1" w:styleId="BodyTextBold">
    <w:name w:val="Body Text Bold"/>
    <w:basedOn w:val="BodyText"/>
    <w:qFormat/>
    <w:rsid w:val="00FC70AF"/>
    <w:rPr>
      <w:b/>
    </w:rPr>
  </w:style>
  <w:style w:type="character" w:styleId="Hyperlink">
    <w:name w:val="Hyperlink"/>
    <w:basedOn w:val="DefaultParagraphFont"/>
    <w:uiPriority w:val="99"/>
    <w:unhideWhenUsed/>
    <w:rsid w:val="00FB3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3243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TLIS2012 Install and service rail lubrication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