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F2C" w:rsidP="00766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TLIR4002 Source goods/services and evaluate contractors</w:t>
      </w:r>
      <w:r>
        <w:fldChar w:fldCharType="end"/>
      </w:r>
    </w:p>
    <w:p w:rsidR="00766F2C" w:rsidP="00766F2C">
      <w:pPr>
        <w:pStyle w:val="Version"/>
        <w:sectPr w:rsidSect="00621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19A4" w:rsidP="006219A4">
      <w:pPr>
        <w:pStyle w:val="SuperHeading"/>
      </w:pPr>
      <w:r w:rsidRPr="006219A4">
        <w:t>TLIR4002 Source goods/services and evaluate contractors</w:t>
      </w:r>
    </w:p>
    <w:p w:rsidR="00000000" w:rsidRPr="006219A4" w:rsidP="006219A4">
      <w:pPr>
        <w:pStyle w:val="Heading1"/>
      </w:pPr>
      <w:bookmarkStart w:id="1" w:name="O_1120319"/>
      <w:bookmarkEnd w:id="1"/>
      <w:r w:rsidRPr="006219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Release 2. This is the second release of this unit of competency in the TLI Transport and Logistics Training Package:</w:t>
            </w:r>
          </w:p>
          <w:p w:rsidR="00000000" w:rsidRPr="006219A4" w:rsidP="006219A4">
            <w:pPr>
              <w:pStyle w:val="ListBullet"/>
            </w:pPr>
            <w:r w:rsidRPr="006219A4">
              <w:t>Minor statement changes to PC 2.2, 2.4 and 2.7</w:t>
            </w:r>
          </w:p>
          <w:p w:rsidR="00000000" w:rsidRPr="006219A4" w:rsidP="006219A4">
            <w:pPr>
              <w:pStyle w:val="ListBullet"/>
            </w:pPr>
            <w:r w:rsidRPr="006219A4">
              <w:t>Minor statement changes from Performance Evidence</w:t>
            </w:r>
          </w:p>
          <w:p w:rsidR="00000000" w:rsidP="006219A4">
            <w:pPr>
              <w:pStyle w:val="ListBullet"/>
              <w:rPr>
                <w:lang w:val="en-NZ"/>
              </w:rPr>
            </w:pPr>
            <w:r w:rsidRPr="006219A4">
              <w:t>M</w:t>
            </w:r>
            <w:r w:rsidRPr="006219A4">
              <w:t>inor statement changes in Assessment Conditions.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Release 1. This is the first release of this unit of competency in the TLI Transport and Logistics Training Package.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2" w:name="O_1120318"/>
      <w:bookmarkEnd w:id="2"/>
      <w:r w:rsidRPr="006219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 xml:space="preserve">This unit involves the skills and knowledge required to </w:t>
            </w:r>
            <w:r w:rsidRPr="006219A4">
              <w:t>source goods/services and to evaluate contractors in accordance with workplace policy and procedures.</w:t>
            </w:r>
          </w:p>
          <w:p w:rsidR="00000000" w:rsidRPr="006219A4" w:rsidP="006219A4">
            <w:pPr>
              <w:pStyle w:val="BodyText"/>
            </w:pPr>
            <w:r w:rsidRPr="006219A4">
              <w:t>The unit generally applies to those with responsibility for resource coordination and allocation and who lead individuals or teams.</w:t>
            </w:r>
          </w:p>
          <w:p w:rsidR="00000000" w:rsidRPr="006219A4" w:rsidP="006219A4">
            <w:pPr>
              <w:pStyle w:val="BodyText"/>
            </w:pPr>
            <w:r w:rsidRPr="006219A4">
              <w:t>It includes analysing supply requirements as well as evaluating and selecting appropriate potential contractors.</w:t>
            </w:r>
          </w:p>
          <w:p w:rsidR="00000000" w:rsidRPr="006219A4" w:rsidP="006219A4">
            <w:pPr>
              <w:pStyle w:val="BodyText"/>
            </w:pPr>
            <w:r w:rsidRPr="006219A4">
              <w:t>This unit involves discretion and judgement for self and others in planning and using resources, services and processes to achieve required out</w:t>
            </w:r>
            <w:r w:rsidRPr="006219A4">
              <w:t>comes.</w:t>
            </w:r>
          </w:p>
          <w:p w:rsidR="00000000" w:rsidRPr="006219A4" w:rsidP="006219A4">
            <w:pPr>
              <w:pStyle w:val="BodyText"/>
            </w:pPr>
            <w:r w:rsidRPr="006219A4">
              <w:t>Work is performed under general guidance on progress and work outcomes.</w:t>
            </w:r>
          </w:p>
          <w:p w:rsidR="00000000" w:rsidRPr="006219A4" w:rsidP="006219A4">
            <w:pPr>
              <w:pStyle w:val="BodyText"/>
            </w:pPr>
            <w:r w:rsidRPr="006219A4">
              <w:t>No licensing, legislative or certification requirements apply to this unit at the time of publication.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3" w:name="O_1120317"/>
      <w:bookmarkEnd w:id="3"/>
      <w:r w:rsidRPr="006219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Not applicable.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4" w:name="O_1120316"/>
      <w:bookmarkEnd w:id="4"/>
      <w:r w:rsidRPr="006219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R – Contract Procurement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5" w:name="O_1120315"/>
      <w:bookmarkEnd w:id="5"/>
      <w:r w:rsidRPr="006219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Rail sector.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6" w:name="O_1120314"/>
      <w:bookmarkEnd w:id="6"/>
      <w:r w:rsidRPr="006219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PERFORMANCE CRITERIA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Performance criteria describe the performance needed to demonstrate achievement of the element.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rPr>
                <w:rStyle w:val="SpecialBold"/>
              </w:rPr>
              <w:t>Analyse supply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Purpose and specifications of required goods/services are identified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Criteria to evaluate potential or existing contractor performance is established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Quantities of required goods/services are determined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Frequency of ordering/requesting of goods/services is identified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rPr>
                <w:rStyle w:val="SpecialBold"/>
              </w:rPr>
              <w:t>Evaluate potential contractors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Contr</w:t>
            </w:r>
            <w:r w:rsidRPr="006219A4">
              <w:t>actors of requested goods/materials/services are identified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Comparative costings for goods/materials/services are obtained in accordance with regulatory and organisational policies and procedures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Contractor ability to provide a consistent level of performance on repeat jobs is assessed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Contractors are evaluated in relation to established criteria and in accordance with regulatory and organisational policies and procedures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 xml:space="preserve">Prioritised </w:t>
            </w:r>
            <w:r w:rsidRPr="006219A4">
              <w:t>contractor shortlist is established based on contractor capacity to provide a cost competitive quality service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t>Contractor selection process outcomes are documented including recommendations for actioning agreements/contracts with selected contractor</w:t>
            </w:r>
            <w:r w:rsidRPr="006219A4">
              <w:t>s</w:t>
            </w:r>
          </w:p>
        </w:tc>
      </w:tr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9A4">
            <w:pPr>
              <w:pStyle w:val="BodyText"/>
              <w:rPr>
                <w:lang w:val="en-NZ"/>
              </w:rPr>
            </w:pPr>
            <w:r w:rsidRPr="006219A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Information and data generated during selection process is filed and maintained in accordance with organisational policies and procedures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7" w:name="O_1120313"/>
      <w:bookmarkEnd w:id="7"/>
      <w:r w:rsidRPr="006219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Foundation skills essential to</w:t>
            </w:r>
            <w:r w:rsidRPr="006219A4">
              <w:t xml:space="preserve"> performance are explicit in the performance criteria of this unit of competency.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8" w:name="O_1120312"/>
      <w:bookmarkEnd w:id="8"/>
      <w:r w:rsidRPr="006219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Range is restricted to essential operating conditions and any other variables essential to the work environment.</w:t>
            </w:r>
          </w:p>
          <w:p w:rsidR="00000000" w:rsidRPr="006219A4" w:rsidP="006219A4">
            <w:pPr>
              <w:pStyle w:val="BodyText"/>
            </w:pPr>
            <w:r w:rsidRPr="006219A4">
              <w:t>Non-essential condit</w:t>
            </w:r>
            <w:r w:rsidRPr="006219A4">
              <w:t>ions can be found in the TLI Transport and logistics Training Package Companion Volume Implementation Guide.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9" w:name="O_1120311"/>
      <w:bookmarkEnd w:id="9"/>
      <w:r w:rsidRPr="006219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9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9A4" w:rsidP="006219A4">
            <w:pPr>
              <w:pStyle w:val="BodyText"/>
            </w:pPr>
            <w:r w:rsidRPr="006219A4">
              <w:t>This unit replaces and is equivalent to TLIR4002A Source goods/services and evaluate contractors.</w:t>
            </w:r>
          </w:p>
        </w:tc>
      </w:tr>
    </w:tbl>
    <w:p w:rsidR="00000000" w:rsidRPr="006219A4" w:rsidP="006219A4">
      <w:pPr>
        <w:pStyle w:val="NoPaddingFontSize1"/>
      </w:pPr>
    </w:p>
    <w:p w:rsidR="00000000" w:rsidRPr="006219A4" w:rsidP="006219A4">
      <w:pPr>
        <w:pStyle w:val="AllowPageBreak"/>
      </w:pPr>
    </w:p>
    <w:p w:rsidR="00000000" w:rsidRPr="006219A4" w:rsidP="006219A4">
      <w:pPr>
        <w:pStyle w:val="Heading1"/>
      </w:pPr>
      <w:bookmarkStart w:id="10" w:name="O_1120320"/>
      <w:bookmarkEnd w:id="10"/>
      <w:r w:rsidRPr="006219A4">
        <w:t>Links</w:t>
      </w:r>
    </w:p>
    <w:p w:rsidR="00000000" w:rsidRPr="006219A4" w:rsidP="00766F2C">
      <w:pPr>
        <w:pStyle w:val="BodyText"/>
      </w:pPr>
      <w:r w:rsidRPr="00621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00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19A4" w:rsidP="006219A4"/>
    <w:sectPr w:rsidSect="00621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A4" w:rsidRPr="00766F2C" w:rsidP="00766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2C" w:rsidP="00621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F2C" w:rsidP="00621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6F2C" w:rsidP="00621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9A4" w:rsidRPr="00766F2C" w:rsidP="00766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2C" w:rsidRPr="002D2AF8" w:rsidP="00621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TLIR4002 Source goods/services and evaluate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6F2C" w:rsidP="00621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23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049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9A4"/>
  </w:style>
  <w:style w:type="character" w:customStyle="1" w:styleId="Heading1Char">
    <w:name w:val="Heading 1 Char"/>
    <w:basedOn w:val="DefaultParagraphFont"/>
    <w:link w:val="Heading1"/>
    <w:rsid w:val="00621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9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9A4"/>
    <w:rPr>
      <w:b/>
      <w:spacing w:val="0"/>
    </w:rPr>
  </w:style>
  <w:style w:type="paragraph" w:customStyle="1" w:styleId="SuperHeading">
    <w:name w:val="SuperHeading"/>
    <w:basedOn w:val="Normal"/>
    <w:rsid w:val="00621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1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9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9A4"/>
    <w:rPr>
      <w:i/>
    </w:rPr>
  </w:style>
  <w:style w:type="paragraph" w:styleId="Caption">
    <w:name w:val="caption"/>
    <w:basedOn w:val="BodyText"/>
    <w:next w:val="Normal"/>
    <w:qFormat/>
    <w:rsid w:val="00621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9A4"/>
  </w:style>
  <w:style w:type="paragraph" w:styleId="TableofFigures">
    <w:name w:val="table of figures"/>
    <w:basedOn w:val="Normal"/>
    <w:next w:val="Normal"/>
    <w:semiHidden/>
    <w:rsid w:val="00621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9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9A4"/>
    <w:rPr>
      <w:rFonts w:ascii="Wingdings" w:hAnsi="Wingdings"/>
    </w:rPr>
  </w:style>
  <w:style w:type="paragraph" w:customStyle="1" w:styleId="TableHeading">
    <w:name w:val="Table Heading"/>
    <w:basedOn w:val="HeadingBase"/>
    <w:rsid w:val="00621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9A4"/>
    <w:rPr>
      <w:color w:val="0033CC"/>
      <w:u w:val="none"/>
    </w:rPr>
  </w:style>
  <w:style w:type="paragraph" w:customStyle="1" w:styleId="BodyTextRight">
    <w:name w:val="Body Text Right"/>
    <w:basedOn w:val="BodyText"/>
    <w:rsid w:val="00621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9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9A4"/>
    <w:rPr>
      <w:sz w:val="32"/>
    </w:rPr>
  </w:style>
  <w:style w:type="paragraph" w:customStyle="1" w:styleId="HeadingProcedure">
    <w:name w:val="Heading Procedure"/>
    <w:basedOn w:val="HeadingBase"/>
    <w:next w:val="Normal"/>
    <w:rsid w:val="00621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9A4"/>
    <w:pPr>
      <w:spacing w:before="60" w:after="60"/>
    </w:pPr>
  </w:style>
  <w:style w:type="paragraph" w:styleId="ListContinue">
    <w:name w:val="List Continue"/>
    <w:basedOn w:val="List"/>
    <w:rsid w:val="006219A4"/>
    <w:pPr>
      <w:ind w:firstLine="0"/>
    </w:pPr>
  </w:style>
  <w:style w:type="paragraph" w:customStyle="1" w:styleId="ListNote">
    <w:name w:val="List Note"/>
    <w:basedOn w:val="List"/>
    <w:rsid w:val="00621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9A4"/>
    <w:rPr>
      <w:rFonts w:ascii="Courier New" w:hAnsi="Courier New"/>
    </w:rPr>
  </w:style>
  <w:style w:type="paragraph" w:customStyle="1" w:styleId="NoteBullet">
    <w:name w:val="Note Bullet"/>
    <w:basedOn w:val="Note"/>
    <w:rsid w:val="00621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9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9A4"/>
    <w:rPr>
      <w:b/>
      <w:smallCaps/>
    </w:rPr>
  </w:style>
  <w:style w:type="paragraph" w:customStyle="1" w:styleId="TableListNumber">
    <w:name w:val="Table List Number"/>
    <w:basedOn w:val="ListNumber"/>
    <w:rsid w:val="00621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9A4"/>
    <w:pPr>
      <w:numPr>
        <w:numId w:val="8"/>
      </w:numPr>
    </w:pPr>
  </w:style>
  <w:style w:type="paragraph" w:customStyle="1" w:styleId="ListAlpha2">
    <w:name w:val="List Alpha 2"/>
    <w:basedOn w:val="List2"/>
    <w:rsid w:val="006219A4"/>
    <w:pPr>
      <w:numPr>
        <w:numId w:val="7"/>
      </w:numPr>
    </w:pPr>
  </w:style>
  <w:style w:type="paragraph" w:styleId="List2">
    <w:name w:val="List 2"/>
    <w:basedOn w:val="BodyText"/>
    <w:rsid w:val="00621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9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9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9A4"/>
    <w:pPr>
      <w:numPr>
        <w:numId w:val="3"/>
      </w:numPr>
    </w:pPr>
  </w:style>
  <w:style w:type="paragraph" w:styleId="ListContinue2">
    <w:name w:val="List Continue 2"/>
    <w:basedOn w:val="List2"/>
    <w:rsid w:val="006219A4"/>
    <w:pPr>
      <w:ind w:firstLine="0"/>
    </w:pPr>
  </w:style>
  <w:style w:type="paragraph" w:styleId="ListContinue3">
    <w:name w:val="List Continue 3"/>
    <w:basedOn w:val="List3"/>
    <w:rsid w:val="006219A4"/>
    <w:pPr>
      <w:ind w:left="1021" w:firstLine="0"/>
    </w:pPr>
  </w:style>
  <w:style w:type="paragraph" w:styleId="ListContinue4">
    <w:name w:val="List Continue 4"/>
    <w:basedOn w:val="List4"/>
    <w:rsid w:val="006219A4"/>
    <w:pPr>
      <w:ind w:firstLine="0"/>
    </w:pPr>
  </w:style>
  <w:style w:type="paragraph" w:styleId="ListContinue5">
    <w:name w:val="List Continue 5"/>
    <w:basedOn w:val="List5"/>
    <w:rsid w:val="006219A4"/>
    <w:pPr>
      <w:ind w:firstLine="0"/>
    </w:pPr>
  </w:style>
  <w:style w:type="paragraph" w:styleId="ListNumber3">
    <w:name w:val="List Number 3"/>
    <w:basedOn w:val="List3"/>
    <w:rsid w:val="006219A4"/>
    <w:pPr>
      <w:numPr>
        <w:numId w:val="4"/>
      </w:numPr>
    </w:pPr>
  </w:style>
  <w:style w:type="paragraph" w:styleId="ListNumber4">
    <w:name w:val="List Number 4"/>
    <w:basedOn w:val="List4"/>
    <w:rsid w:val="006219A4"/>
    <w:pPr>
      <w:numPr>
        <w:numId w:val="5"/>
      </w:numPr>
    </w:pPr>
  </w:style>
  <w:style w:type="paragraph" w:styleId="ListNumber5">
    <w:name w:val="List Number 5"/>
    <w:basedOn w:val="List5"/>
    <w:rsid w:val="006219A4"/>
    <w:pPr>
      <w:numPr>
        <w:numId w:val="6"/>
      </w:numPr>
    </w:pPr>
  </w:style>
  <w:style w:type="paragraph" w:styleId="BlockText">
    <w:name w:val="Block Text"/>
    <w:basedOn w:val="Normal"/>
    <w:rsid w:val="00621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9A4"/>
    <w:rPr>
      <w:sz w:val="16"/>
      <w:vertAlign w:val="superscript"/>
    </w:rPr>
  </w:style>
  <w:style w:type="character" w:customStyle="1" w:styleId="Symbols">
    <w:name w:val="Symbols"/>
    <w:basedOn w:val="DefaultParagraphFont"/>
    <w:rsid w:val="006219A4"/>
    <w:rPr>
      <w:rFonts w:ascii="Symbol" w:hAnsi="Symbol"/>
    </w:rPr>
  </w:style>
  <w:style w:type="character" w:customStyle="1" w:styleId="MenuOptions">
    <w:name w:val="Menu Options"/>
    <w:basedOn w:val="DefaultParagraphFont"/>
    <w:rsid w:val="00621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9A4"/>
    <w:rPr>
      <w:b/>
    </w:rPr>
  </w:style>
  <w:style w:type="character" w:customStyle="1" w:styleId="Underlined">
    <w:name w:val="Underlined"/>
    <w:basedOn w:val="DefaultParagraphFont"/>
    <w:rsid w:val="006219A4"/>
    <w:rPr>
      <w:u w:val="single"/>
    </w:rPr>
  </w:style>
  <w:style w:type="paragraph" w:customStyle="1" w:styleId="TableBodyTextRight">
    <w:name w:val="Table Body Text Right"/>
    <w:basedOn w:val="TableBodyText"/>
    <w:rsid w:val="00621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9A4"/>
    <w:rPr>
      <w:sz w:val="18"/>
    </w:rPr>
  </w:style>
  <w:style w:type="paragraph" w:customStyle="1" w:styleId="BodySmallRight">
    <w:name w:val="Body Small Right"/>
    <w:basedOn w:val="BodyTextRight"/>
    <w:rsid w:val="006219A4"/>
    <w:rPr>
      <w:sz w:val="18"/>
      <w:szCs w:val="18"/>
    </w:rPr>
  </w:style>
  <w:style w:type="paragraph" w:customStyle="1" w:styleId="MarginEdition">
    <w:name w:val="Margin Edition"/>
    <w:basedOn w:val="MarginNote"/>
    <w:rsid w:val="00621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9A4"/>
    <w:rPr>
      <w:sz w:val="2"/>
      <w:szCs w:val="2"/>
    </w:rPr>
  </w:style>
  <w:style w:type="character" w:customStyle="1" w:styleId="Small">
    <w:name w:val="Small"/>
    <w:basedOn w:val="DefaultParagraphFont"/>
    <w:rsid w:val="006219A4"/>
    <w:rPr>
      <w:sz w:val="16"/>
    </w:rPr>
  </w:style>
  <w:style w:type="paragraph" w:customStyle="1" w:styleId="WideTable">
    <w:name w:val="Wide Table"/>
    <w:basedOn w:val="Normal"/>
    <w:rsid w:val="00621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9A4"/>
  </w:style>
  <w:style w:type="paragraph" w:styleId="Quote">
    <w:name w:val="Quote"/>
    <w:basedOn w:val="Heading1"/>
    <w:link w:val="QuoteChar"/>
    <w:qFormat/>
    <w:rsid w:val="00621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9A4"/>
    <w:pPr>
      <w:pageBreakBefore/>
    </w:pPr>
  </w:style>
  <w:style w:type="paragraph" w:customStyle="1" w:styleId="Border">
    <w:name w:val="Border"/>
    <w:basedOn w:val="Normal"/>
    <w:qFormat/>
    <w:rsid w:val="00621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9A4"/>
    <w:rPr>
      <w:u w:val="single"/>
    </w:rPr>
  </w:style>
  <w:style w:type="character" w:customStyle="1" w:styleId="BoldandItalics">
    <w:name w:val="Bold and Italics"/>
    <w:qFormat/>
    <w:rsid w:val="006219A4"/>
    <w:rPr>
      <w:b/>
      <w:i/>
      <w:u w:val="none"/>
    </w:rPr>
  </w:style>
  <w:style w:type="paragraph" w:styleId="BalloonText">
    <w:name w:val="Balloon Text"/>
    <w:basedOn w:val="Normal"/>
    <w:link w:val="BalloonTextChar"/>
    <w:rsid w:val="00621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9A4"/>
    <w:pPr>
      <w:spacing w:before="0" w:after="0"/>
    </w:pPr>
  </w:style>
  <w:style w:type="paragraph" w:customStyle="1" w:styleId="BodyTextBold">
    <w:name w:val="Body Text Bold"/>
    <w:basedOn w:val="BodyText"/>
    <w:qFormat/>
    <w:rsid w:val="006219A4"/>
    <w:rPr>
      <w:b/>
    </w:rPr>
  </w:style>
  <w:style w:type="character" w:styleId="Hyperlink">
    <w:name w:val="Hyperlink"/>
    <w:basedOn w:val="DefaultParagraphFont"/>
    <w:uiPriority w:val="99"/>
    <w:unhideWhenUsed/>
    <w:rsid w:val="00766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3194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TLIR4002 Source goods/services and evaluate contractors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