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F05" w:rsidP="00043F0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TLIR0004 Negotiate a contract</w:t>
      </w:r>
      <w:r>
        <w:fldChar w:fldCharType="end"/>
      </w:r>
    </w:p>
    <w:p w:rsidR="00043F05" w:rsidP="00043F05">
      <w:pPr>
        <w:pStyle w:val="Version"/>
        <w:sectPr w:rsidSect="009E78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7899" w:rsidP="009E7899">
      <w:pPr>
        <w:pStyle w:val="SuperHeading"/>
      </w:pPr>
      <w:r w:rsidRPr="009E7899">
        <w:t>TLIR0004 Negotiate a contract</w:t>
      </w:r>
    </w:p>
    <w:p w:rsidR="00000000" w:rsidRPr="009E7899" w:rsidP="009E7899">
      <w:pPr>
        <w:pStyle w:val="Heading1"/>
      </w:pPr>
      <w:bookmarkStart w:id="1" w:name="O_1198087"/>
      <w:bookmarkEnd w:id="1"/>
      <w:r w:rsidRPr="009E789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rPr>
                <w:rStyle w:val="SpecialBold"/>
              </w:rPr>
              <w:t>Release 1.</w:t>
            </w:r>
            <w:r w:rsidRPr="009E7899">
              <w:t xml:space="preserve"> This is the first release of this unit of competency in the TLI Transport and Logistics Training Package.</w:t>
            </w:r>
          </w:p>
        </w:tc>
      </w:tr>
    </w:tbl>
    <w:p w:rsidR="00043F05" w:rsidP="009E7899">
      <w:pPr>
        <w:pStyle w:val="NoPaddingFontSize1"/>
      </w:pPr>
    </w:p>
    <w:p w:rsidR="00043F05" w:rsidP="009E7899">
      <w:pPr>
        <w:pStyle w:val="NoPaddingFontSize1"/>
      </w:pPr>
    </w:p>
    <w:p w:rsidR="00000000" w:rsidRPr="009E7899" w:rsidP="009E7899">
      <w:pPr>
        <w:pStyle w:val="Heading1"/>
      </w:pPr>
      <w:bookmarkStart w:id="2" w:name="O_1198088"/>
      <w:bookmarkEnd w:id="2"/>
      <w:r w:rsidRPr="009E789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t>This unit involves the skills and knowledge required to negotiate a contract.</w:t>
            </w:r>
          </w:p>
          <w:p w:rsidR="00000000" w:rsidRPr="009E7899" w:rsidP="009E7899">
            <w:pPr>
              <w:pStyle w:val="BodyText"/>
            </w:pPr>
            <w:r w:rsidRPr="009E7899">
              <w:t>It inc</w:t>
            </w:r>
            <w:r w:rsidRPr="009E7899">
              <w:t>ludes negotiating contract specifics with contractors, completing contract negotiations and completing enterprise contract requirements.</w:t>
            </w:r>
          </w:p>
          <w:p w:rsidR="00000000" w:rsidRPr="009E7899" w:rsidP="009E7899">
            <w:pPr>
              <w:pStyle w:val="BodyText"/>
            </w:pPr>
            <w:r w:rsidRPr="009E7899">
              <w:t>The unit generally applies to those with procurement responsibilities.</w:t>
            </w:r>
          </w:p>
          <w:p w:rsidR="00000000" w:rsidRPr="009E7899" w:rsidP="009E7899">
            <w:pPr>
              <w:pStyle w:val="BodyText"/>
            </w:pPr>
            <w:r w:rsidRPr="009E7899">
              <w:t>Work is under general guidance on progress and o</w:t>
            </w:r>
            <w:r w:rsidRPr="009E7899">
              <w:t>utcomes. It requires discretion and judgement for self and others in planning and using resources, services and processes to achieve required outcomes.</w:t>
            </w:r>
          </w:p>
          <w:p w:rsidR="00000000" w:rsidRPr="009E7899" w:rsidP="009E7899">
            <w:pPr>
              <w:pStyle w:val="BodyText"/>
            </w:pPr>
            <w:r w:rsidRPr="009E7899">
              <w:t>No licensing, legislative or certification requirements apply to this unit at the time of publication.</w:t>
            </w:r>
          </w:p>
        </w:tc>
      </w:tr>
    </w:tbl>
    <w:p w:rsidR="00043F05" w:rsidP="009E7899">
      <w:pPr>
        <w:pStyle w:val="NoPaddingFontSize1"/>
      </w:pPr>
    </w:p>
    <w:p w:rsidR="00043F05" w:rsidP="009E7899">
      <w:pPr>
        <w:pStyle w:val="NoPaddingFontSize1"/>
      </w:pPr>
    </w:p>
    <w:p w:rsidR="00000000" w:rsidRPr="009E7899" w:rsidP="009E7899">
      <w:pPr>
        <w:pStyle w:val="Heading1"/>
      </w:pPr>
      <w:bookmarkStart w:id="3" w:name="O_1198089"/>
      <w:bookmarkEnd w:id="3"/>
      <w:r w:rsidRPr="009E789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t>Not applicable.</w:t>
            </w:r>
          </w:p>
        </w:tc>
      </w:tr>
    </w:tbl>
    <w:p w:rsidR="00043F05" w:rsidP="009E7899">
      <w:pPr>
        <w:pStyle w:val="NoPaddingFontSize1"/>
      </w:pPr>
    </w:p>
    <w:p w:rsidR="00043F05" w:rsidP="009E7899">
      <w:pPr>
        <w:pStyle w:val="NoPaddingFontSize1"/>
      </w:pPr>
    </w:p>
    <w:p w:rsidR="00000000" w:rsidRPr="009E7899" w:rsidP="009E7899">
      <w:pPr>
        <w:pStyle w:val="Heading1"/>
      </w:pPr>
      <w:bookmarkStart w:id="4" w:name="O_1198090"/>
      <w:bookmarkEnd w:id="4"/>
      <w:r w:rsidRPr="009E789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t>R ‒ Contract Procurement.</w:t>
            </w:r>
          </w:p>
        </w:tc>
      </w:tr>
    </w:tbl>
    <w:p w:rsidR="00043F05" w:rsidP="009E7899">
      <w:pPr>
        <w:pStyle w:val="NoPaddingFontSize1"/>
      </w:pPr>
    </w:p>
    <w:p w:rsidR="00043F05" w:rsidP="009E7899">
      <w:pPr>
        <w:pStyle w:val="NoPaddingFontSize1"/>
      </w:pPr>
    </w:p>
    <w:p w:rsidR="00000000" w:rsidRPr="009E7899" w:rsidP="009E7899">
      <w:pPr>
        <w:pStyle w:val="Heading1"/>
      </w:pPr>
      <w:bookmarkStart w:id="5" w:name="O_1198091"/>
      <w:bookmarkEnd w:id="5"/>
      <w:r w:rsidRPr="009E789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t>Not applicable.</w:t>
            </w:r>
          </w:p>
        </w:tc>
      </w:tr>
    </w:tbl>
    <w:p w:rsidR="00043F05" w:rsidP="009E7899">
      <w:pPr>
        <w:pStyle w:val="NoPaddingFontSize1"/>
      </w:pPr>
    </w:p>
    <w:p w:rsidR="00043F05" w:rsidP="009E7899">
      <w:pPr>
        <w:pStyle w:val="NoPaddingFontSize1"/>
      </w:pPr>
    </w:p>
    <w:p w:rsidR="00000000" w:rsidRPr="009E7899" w:rsidP="009E7899">
      <w:pPr>
        <w:pStyle w:val="Heading1"/>
      </w:pPr>
      <w:bookmarkStart w:id="6" w:name="O_1198092"/>
      <w:bookmarkEnd w:id="6"/>
      <w:r w:rsidRPr="009E7899">
        <w:t>Elements and Performance Criteria</w:t>
      </w:r>
    </w:p>
    <w:tbl>
      <w:tblPr>
        <w:tblW w:w="969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7"/>
        <w:gridCol w:w="2333"/>
        <w:gridCol w:w="491"/>
        <w:gridCol w:w="6306"/>
        <w:gridCol w:w="195"/>
      </w:tblGrid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5" w:type="dxa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rPr>
                <w:rStyle w:val="SpecialBold"/>
              </w:rPr>
              <w:t>ELEMENTS</w:t>
            </w:r>
          </w:p>
        </w:tc>
        <w:tc>
          <w:tcPr>
            <w:tcW w:w="67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PERFORMANCE CRITERIA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195" w:type="dxa"/>
        </w:trPr>
        <w:tc>
          <w:tcPr>
            <w:tcW w:w="27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Elements describe the essential outcomes.</w:t>
            </w:r>
          </w:p>
        </w:tc>
        <w:tc>
          <w:tcPr>
            <w:tcW w:w="67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Performance criteria describe the performance needed to demonstrate achievement of the element.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rPr>
                <w:rStyle w:val="SpecialBold"/>
              </w:rPr>
              <w:t>1</w:t>
            </w:r>
          </w:p>
        </w:tc>
        <w:tc>
          <w:tcPr>
            <w:tcW w:w="23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rPr>
                <w:rStyle w:val="SpecialBold"/>
              </w:rPr>
              <w:t xml:space="preserve">Negotiate contract specifics with </w:t>
            </w:r>
            <w:r w:rsidRPr="009E7899">
              <w:rPr>
                <w:rStyle w:val="SpecialBold"/>
              </w:rPr>
              <w:t>contractor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1.1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Preferred suppliers are verified prior to contract negotiations through a prequalification process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1.2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Requirements of the contract are clearly documented and agreed to by the relevant parties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1.3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Areas of ambiguity or concern are clarified and resolved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1.4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Contract negotiations are conducted in accordance with relevant legislation and workplace policies and procedures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1.5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Conditions for service and/or supply of goods/services are agreed betwe</w:t>
            </w:r>
            <w:r w:rsidRPr="009E7899">
              <w:t>en the enterprise and the contractor, including the determination of key performance indicators (KPIs)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rPr>
                <w:rStyle w:val="SpecialBold"/>
              </w:rPr>
              <w:t>2</w:t>
            </w:r>
          </w:p>
        </w:tc>
        <w:tc>
          <w:tcPr>
            <w:tcW w:w="23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rPr>
                <w:rStyle w:val="SpecialBold"/>
              </w:rPr>
              <w:t>Complete contract negotiations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2.1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Contract documentation is drafted in accordance with relevant legislation, workplace policies and procedures and ne</w:t>
            </w:r>
            <w:r w:rsidRPr="009E7899">
              <w:t>gotiated conditions of service and supply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2.2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Technical and legal support in drafting contracts is accessed, as required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2.3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Contract documentation is signed and exchanged between relevant parties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rPr>
                <w:rStyle w:val="SpecialBold"/>
              </w:rPr>
              <w:t>3</w:t>
            </w:r>
          </w:p>
        </w:tc>
        <w:tc>
          <w:tcPr>
            <w:tcW w:w="233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rPr>
                <w:rStyle w:val="SpecialBold"/>
              </w:rPr>
              <w:t>Complete enterprise contract requirements</w:t>
            </w: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3.1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Documentation systems are established to ensure that the contractual terms and KPIs are met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3.2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Quality assurance procedures for supplied goods/services are initiated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3.3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t>Workplace systems that require interaction with contractors are identified and actioned</w:t>
            </w:r>
          </w:p>
        </w:tc>
      </w:tr>
      <w:tr w:rsidTr="009E7899">
        <w:tblPrEx>
          <w:tblW w:w="969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3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>
            <w:pPr>
              <w:pStyle w:val="BodyText"/>
              <w:keepLines w:val="0"/>
              <w:spacing w:before="0" w:after="0"/>
            </w:pPr>
          </w:p>
        </w:tc>
        <w:tc>
          <w:tcPr>
            <w:tcW w:w="49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7899">
            <w:pPr>
              <w:pStyle w:val="BodyText"/>
              <w:rPr>
                <w:lang w:val="en-NZ"/>
              </w:rPr>
            </w:pPr>
            <w:r w:rsidRPr="009E7899">
              <w:rPr>
                <w:rStyle w:val="SpecialBold"/>
              </w:rPr>
              <w:t>3.4</w:t>
            </w:r>
          </w:p>
        </w:tc>
        <w:tc>
          <w:tcPr>
            <w:tcW w:w="65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t>Contract and ancillary documentation are completed and stored, as required, in accordance with workplace policies, procedures and regulatory requirements</w:t>
            </w:r>
          </w:p>
        </w:tc>
      </w:tr>
    </w:tbl>
    <w:p w:rsidR="00043F05" w:rsidP="009E7899">
      <w:pPr>
        <w:pStyle w:val="NoPaddingFontSize1"/>
      </w:pPr>
    </w:p>
    <w:p w:rsidR="00043F05" w:rsidP="009E7899">
      <w:pPr>
        <w:pStyle w:val="NoPaddingFontSize1"/>
      </w:pPr>
    </w:p>
    <w:p w:rsidR="00000000" w:rsidRPr="009E7899" w:rsidP="009E7899">
      <w:pPr>
        <w:pStyle w:val="Heading1"/>
      </w:pPr>
      <w:bookmarkStart w:id="7" w:name="O_1198093"/>
      <w:bookmarkEnd w:id="7"/>
      <w:r w:rsidRPr="009E789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t>Foundation skills essential to performance are explicit in the performance criteria of this unit of competency.</w:t>
            </w:r>
          </w:p>
        </w:tc>
      </w:tr>
    </w:tbl>
    <w:p w:rsidR="00043F05" w:rsidP="009E7899">
      <w:pPr>
        <w:pStyle w:val="NoPaddingFontSize1"/>
      </w:pPr>
    </w:p>
    <w:p w:rsidR="00043F05" w:rsidP="009E7899">
      <w:pPr>
        <w:pStyle w:val="NoPaddingFontSize1"/>
      </w:pPr>
    </w:p>
    <w:p w:rsidR="00000000" w:rsidRPr="009E7899" w:rsidP="009E7899">
      <w:pPr>
        <w:pStyle w:val="Heading1"/>
      </w:pPr>
      <w:bookmarkStart w:id="8" w:name="O_1198094"/>
      <w:bookmarkEnd w:id="8"/>
      <w:r w:rsidRPr="009E789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t>Range is restricted to essential operating conditions and any othe</w:t>
            </w:r>
            <w:r w:rsidRPr="009E7899">
              <w:t>r variables essential to the work environment.</w:t>
            </w:r>
          </w:p>
          <w:p w:rsidR="00000000" w:rsidRPr="009E7899" w:rsidP="009E7899">
            <w:pPr>
              <w:pStyle w:val="BodyText"/>
            </w:pPr>
            <w:r w:rsidRPr="009E7899">
              <w:t>Non-essential conditions can be found in the TLI Transport and Logistics Training Package Companion Volume Implementation Guide.</w:t>
            </w:r>
          </w:p>
        </w:tc>
      </w:tr>
    </w:tbl>
    <w:p w:rsidR="00043F05" w:rsidP="009E7899">
      <w:pPr>
        <w:pStyle w:val="NoPaddingFontSize1"/>
      </w:pPr>
    </w:p>
    <w:p w:rsidR="00043F05" w:rsidP="009E7899">
      <w:pPr>
        <w:pStyle w:val="NoPaddingFontSize1"/>
      </w:pPr>
    </w:p>
    <w:p w:rsidR="00000000" w:rsidRPr="009E7899" w:rsidP="009E7899">
      <w:pPr>
        <w:pStyle w:val="Heading1"/>
      </w:pPr>
      <w:bookmarkStart w:id="9" w:name="O_1198095"/>
      <w:bookmarkEnd w:id="9"/>
      <w:r w:rsidRPr="009E789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E789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7899" w:rsidP="009E7899">
            <w:pPr>
              <w:pStyle w:val="BodyText"/>
            </w:pPr>
            <w:r w:rsidRPr="009E7899">
              <w:t>This unit replaces and is equivalent to TLIR4003 Negotiate a contract.</w:t>
            </w:r>
          </w:p>
        </w:tc>
      </w:tr>
    </w:tbl>
    <w:p w:rsidR="00043F05" w:rsidP="009E7899">
      <w:pPr>
        <w:pStyle w:val="NoPaddingFontSize1"/>
      </w:pPr>
    </w:p>
    <w:p w:rsidR="00043F05" w:rsidP="009E7899">
      <w:pPr>
        <w:pStyle w:val="NoPaddingFontSize1"/>
      </w:pPr>
    </w:p>
    <w:p w:rsidR="00000000" w:rsidRPr="009E7899" w:rsidP="009E7899">
      <w:pPr>
        <w:pStyle w:val="Heading1"/>
      </w:pPr>
      <w:bookmarkStart w:id="10" w:name="O_1198102"/>
      <w:bookmarkEnd w:id="10"/>
      <w:r w:rsidRPr="009E7899">
        <w:t>Links</w:t>
      </w:r>
    </w:p>
    <w:p w:rsidR="00000000" w:rsidRPr="009E7899" w:rsidP="00043F05">
      <w:pPr>
        <w:pStyle w:val="BodyText"/>
      </w:pPr>
      <w:r w:rsidRPr="009E789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A7293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E7899" w:rsidP="009E7899"/>
    <w:sectPr w:rsidSect="009E78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8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899" w:rsidRPr="00043F05" w:rsidP="00043F0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8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05" w:rsidP="009E78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F05" w:rsidP="009E78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43F05" w:rsidP="009E78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8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0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7899" w:rsidRPr="00043F05" w:rsidP="00043F0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78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F05" w:rsidRPr="002D2AF8" w:rsidP="009E78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TLIR0004 Negotiate a contract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43F05" w:rsidP="009E78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78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78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78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78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78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78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78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78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78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78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78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7899"/>
  </w:style>
  <w:style w:type="character" w:customStyle="1" w:styleId="Heading1Char">
    <w:name w:val="Heading 1 Char"/>
    <w:basedOn w:val="DefaultParagraphFont"/>
    <w:link w:val="Heading1"/>
    <w:rsid w:val="009E78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78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7899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E7899"/>
    <w:rPr>
      <w:b/>
      <w:spacing w:val="0"/>
    </w:rPr>
  </w:style>
  <w:style w:type="paragraph" w:customStyle="1" w:styleId="SuperHeading">
    <w:name w:val="SuperHeading"/>
    <w:basedOn w:val="Normal"/>
    <w:rsid w:val="009E78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78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E78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78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78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7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78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7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78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78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78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78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78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78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78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78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78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78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78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78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789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E789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E78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E78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78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78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E789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E78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78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78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78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78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78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78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78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789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7899"/>
    <w:rPr>
      <w:i/>
    </w:rPr>
  </w:style>
  <w:style w:type="paragraph" w:styleId="Caption">
    <w:name w:val="caption"/>
    <w:basedOn w:val="BodyText"/>
    <w:next w:val="Normal"/>
    <w:qFormat/>
    <w:rsid w:val="009E78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78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78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7899"/>
  </w:style>
  <w:style w:type="paragraph" w:styleId="TableofFigures">
    <w:name w:val="table of figures"/>
    <w:basedOn w:val="Normal"/>
    <w:next w:val="Normal"/>
    <w:semiHidden/>
    <w:rsid w:val="009E78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789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E7899"/>
    <w:rPr>
      <w:rFonts w:ascii="Wingdings" w:hAnsi="Wingdings"/>
    </w:rPr>
  </w:style>
  <w:style w:type="paragraph" w:customStyle="1" w:styleId="TableHeading">
    <w:name w:val="Table Heading"/>
    <w:basedOn w:val="HeadingBase"/>
    <w:rsid w:val="009E78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7899"/>
    <w:rPr>
      <w:color w:val="0033CC"/>
      <w:u w:val="none"/>
    </w:rPr>
  </w:style>
  <w:style w:type="paragraph" w:customStyle="1" w:styleId="BodyTextRight">
    <w:name w:val="Body Text Right"/>
    <w:basedOn w:val="BodyText"/>
    <w:rsid w:val="009E78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78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789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78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78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78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7899"/>
    <w:rPr>
      <w:sz w:val="32"/>
    </w:rPr>
  </w:style>
  <w:style w:type="paragraph" w:customStyle="1" w:styleId="HeadingProcedure">
    <w:name w:val="Heading Procedure"/>
    <w:basedOn w:val="HeadingBase"/>
    <w:next w:val="Normal"/>
    <w:rsid w:val="009E78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7899"/>
    <w:pPr>
      <w:spacing w:before="60" w:after="60"/>
    </w:pPr>
  </w:style>
  <w:style w:type="paragraph" w:styleId="ListContinue">
    <w:name w:val="List Continue"/>
    <w:basedOn w:val="List"/>
    <w:rsid w:val="009E7899"/>
    <w:pPr>
      <w:ind w:firstLine="0"/>
    </w:pPr>
  </w:style>
  <w:style w:type="paragraph" w:customStyle="1" w:styleId="ListNote">
    <w:name w:val="List Note"/>
    <w:basedOn w:val="List"/>
    <w:rsid w:val="009E78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78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78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7899"/>
    <w:rPr>
      <w:rFonts w:ascii="Courier New" w:hAnsi="Courier New"/>
    </w:rPr>
  </w:style>
  <w:style w:type="paragraph" w:customStyle="1" w:styleId="NoteBullet">
    <w:name w:val="Note Bullet"/>
    <w:basedOn w:val="Note"/>
    <w:rsid w:val="009E78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78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78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78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789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E78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78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7899"/>
    <w:rPr>
      <w:b/>
      <w:smallCaps/>
    </w:rPr>
  </w:style>
  <w:style w:type="paragraph" w:customStyle="1" w:styleId="TableListNumber">
    <w:name w:val="Table List Number"/>
    <w:basedOn w:val="ListNumber"/>
    <w:rsid w:val="009E78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78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7899"/>
    <w:pPr>
      <w:numPr>
        <w:numId w:val="7"/>
      </w:numPr>
    </w:pPr>
  </w:style>
  <w:style w:type="paragraph" w:customStyle="1" w:styleId="ListAlpha2">
    <w:name w:val="List Alpha 2"/>
    <w:basedOn w:val="List2"/>
    <w:rsid w:val="009E7899"/>
    <w:pPr>
      <w:numPr>
        <w:numId w:val="6"/>
      </w:numPr>
    </w:pPr>
  </w:style>
  <w:style w:type="paragraph" w:styleId="List2">
    <w:name w:val="List 2"/>
    <w:basedOn w:val="BodyText"/>
    <w:rsid w:val="009E78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78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78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78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789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789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E7899"/>
    <w:pPr>
      <w:numPr>
        <w:numId w:val="2"/>
      </w:numPr>
    </w:pPr>
  </w:style>
  <w:style w:type="paragraph" w:styleId="ListContinue2">
    <w:name w:val="List Continue 2"/>
    <w:basedOn w:val="List2"/>
    <w:rsid w:val="009E7899"/>
    <w:pPr>
      <w:ind w:firstLine="0"/>
    </w:pPr>
  </w:style>
  <w:style w:type="paragraph" w:styleId="ListContinue3">
    <w:name w:val="List Continue 3"/>
    <w:basedOn w:val="List3"/>
    <w:rsid w:val="009E7899"/>
    <w:pPr>
      <w:ind w:left="1021" w:firstLine="0"/>
    </w:pPr>
  </w:style>
  <w:style w:type="paragraph" w:styleId="ListContinue4">
    <w:name w:val="List Continue 4"/>
    <w:basedOn w:val="List4"/>
    <w:rsid w:val="009E7899"/>
    <w:pPr>
      <w:ind w:firstLine="0"/>
    </w:pPr>
  </w:style>
  <w:style w:type="paragraph" w:styleId="ListContinue5">
    <w:name w:val="List Continue 5"/>
    <w:basedOn w:val="List5"/>
    <w:rsid w:val="009E7899"/>
    <w:pPr>
      <w:ind w:firstLine="0"/>
    </w:pPr>
  </w:style>
  <w:style w:type="paragraph" w:styleId="ListNumber3">
    <w:name w:val="List Number 3"/>
    <w:basedOn w:val="List3"/>
    <w:rsid w:val="009E7899"/>
    <w:pPr>
      <w:numPr>
        <w:numId w:val="3"/>
      </w:numPr>
    </w:pPr>
  </w:style>
  <w:style w:type="paragraph" w:styleId="ListNumber4">
    <w:name w:val="List Number 4"/>
    <w:basedOn w:val="List4"/>
    <w:rsid w:val="009E7899"/>
    <w:pPr>
      <w:numPr>
        <w:numId w:val="4"/>
      </w:numPr>
    </w:pPr>
  </w:style>
  <w:style w:type="paragraph" w:styleId="ListNumber5">
    <w:name w:val="List Number 5"/>
    <w:basedOn w:val="List5"/>
    <w:rsid w:val="009E7899"/>
    <w:pPr>
      <w:numPr>
        <w:numId w:val="5"/>
      </w:numPr>
    </w:pPr>
  </w:style>
  <w:style w:type="paragraph" w:styleId="BlockText">
    <w:name w:val="Block Text"/>
    <w:basedOn w:val="Normal"/>
    <w:rsid w:val="009E78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78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7899"/>
    <w:rPr>
      <w:sz w:val="16"/>
      <w:vertAlign w:val="superscript"/>
    </w:rPr>
  </w:style>
  <w:style w:type="character" w:customStyle="1" w:styleId="Symbols">
    <w:name w:val="Symbols"/>
    <w:basedOn w:val="DefaultParagraphFont"/>
    <w:rsid w:val="009E7899"/>
    <w:rPr>
      <w:rFonts w:ascii="Symbol" w:hAnsi="Symbol"/>
    </w:rPr>
  </w:style>
  <w:style w:type="character" w:customStyle="1" w:styleId="MenuOptions">
    <w:name w:val="Menu Options"/>
    <w:basedOn w:val="DefaultParagraphFont"/>
    <w:rsid w:val="009E78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7899"/>
    <w:rPr>
      <w:b/>
    </w:rPr>
  </w:style>
  <w:style w:type="character" w:customStyle="1" w:styleId="Underlined">
    <w:name w:val="Underlined"/>
    <w:basedOn w:val="DefaultParagraphFont"/>
    <w:rsid w:val="009E7899"/>
    <w:rPr>
      <w:u w:val="single"/>
    </w:rPr>
  </w:style>
  <w:style w:type="paragraph" w:customStyle="1" w:styleId="TableBodyTextRight">
    <w:name w:val="Table Body Text Right"/>
    <w:basedOn w:val="TableBodyText"/>
    <w:rsid w:val="009E78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7899"/>
    <w:rPr>
      <w:sz w:val="18"/>
    </w:rPr>
  </w:style>
  <w:style w:type="paragraph" w:customStyle="1" w:styleId="BodySmallRight">
    <w:name w:val="Body Small Right"/>
    <w:basedOn w:val="BodyTextRight"/>
    <w:rsid w:val="009E7899"/>
    <w:rPr>
      <w:sz w:val="18"/>
      <w:szCs w:val="18"/>
    </w:rPr>
  </w:style>
  <w:style w:type="paragraph" w:customStyle="1" w:styleId="MarginEdition">
    <w:name w:val="Margin Edition"/>
    <w:basedOn w:val="MarginNote"/>
    <w:rsid w:val="009E78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7899"/>
    <w:rPr>
      <w:sz w:val="2"/>
      <w:szCs w:val="2"/>
    </w:rPr>
  </w:style>
  <w:style w:type="character" w:customStyle="1" w:styleId="Small">
    <w:name w:val="Small"/>
    <w:basedOn w:val="DefaultParagraphFont"/>
    <w:rsid w:val="009E7899"/>
    <w:rPr>
      <w:sz w:val="16"/>
    </w:rPr>
  </w:style>
  <w:style w:type="paragraph" w:customStyle="1" w:styleId="WideTable">
    <w:name w:val="Wide Table"/>
    <w:basedOn w:val="Normal"/>
    <w:rsid w:val="009E78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7899"/>
  </w:style>
  <w:style w:type="paragraph" w:styleId="Quote">
    <w:name w:val="Quote"/>
    <w:basedOn w:val="Heading1"/>
    <w:link w:val="QuoteChar"/>
    <w:qFormat/>
    <w:rsid w:val="009E78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78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7899"/>
    <w:pPr>
      <w:pageBreakBefore/>
    </w:pPr>
  </w:style>
  <w:style w:type="paragraph" w:customStyle="1" w:styleId="Border">
    <w:name w:val="Border"/>
    <w:basedOn w:val="Normal"/>
    <w:qFormat/>
    <w:rsid w:val="009E78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78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78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78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78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78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78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78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78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7899"/>
    <w:rPr>
      <w:u w:val="single"/>
    </w:rPr>
  </w:style>
  <w:style w:type="character" w:customStyle="1" w:styleId="BoldandItalics">
    <w:name w:val="Bold and Italics"/>
    <w:qFormat/>
    <w:rsid w:val="009E7899"/>
    <w:rPr>
      <w:b/>
      <w:i/>
      <w:u w:val="none"/>
    </w:rPr>
  </w:style>
  <w:style w:type="paragraph" w:styleId="BalloonText">
    <w:name w:val="Balloon Text"/>
    <w:basedOn w:val="Normal"/>
    <w:link w:val="BalloonTextChar"/>
    <w:rsid w:val="009E78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78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78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78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78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78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7899"/>
    <w:pPr>
      <w:spacing w:before="0" w:after="0"/>
    </w:pPr>
  </w:style>
  <w:style w:type="paragraph" w:customStyle="1" w:styleId="BodyTextBold">
    <w:name w:val="Body Text Bold"/>
    <w:basedOn w:val="BodyText"/>
    <w:qFormat/>
    <w:rsid w:val="009E7899"/>
    <w:rPr>
      <w:b/>
    </w:rPr>
  </w:style>
  <w:style w:type="character" w:styleId="Hyperlink">
    <w:name w:val="Hyperlink"/>
    <w:basedOn w:val="DefaultParagraphFont"/>
    <w:uiPriority w:val="99"/>
    <w:unhideWhenUsed/>
    <w:rsid w:val="00043F0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452</Words>
  <Characters>2956</Characters>
  <Application>Microsoft Office Word</Application>
  <DocSecurity>0</DocSecurity>
  <Lines>140</Lines>
  <Paragraphs>74</Paragraphs>
  <ScaleCrop>false</ScaleCrop>
  <Company>Author-it Software Corporation Ltd.</Company>
  <LinksUpToDate>false</LinksUpToDate>
  <CharactersWithSpaces>3334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TLIR0004 Negotiate a contract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2025-02-11T07:21:00Z</dcterms:created>
  <dcterms:modified xsi:type="dcterms:W3CDTF">2025-02-11T07:21:00Z</dcterms:modified>
</cp:coreProperties>
</file>