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E39" w:rsidP="005D0E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TLIR0004 Negotiate a contract</w:t>
      </w:r>
      <w:r>
        <w:fldChar w:fldCharType="end"/>
      </w:r>
    </w:p>
    <w:p w:rsidR="005D0E39" w:rsidP="005D0E39">
      <w:pPr>
        <w:pStyle w:val="Version"/>
        <w:sectPr w:rsidSect="009634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34AE" w:rsidP="009634AE">
      <w:pPr>
        <w:pStyle w:val="SuperHeading"/>
      </w:pPr>
      <w:r w:rsidRPr="009634AE">
        <w:t>Assessment Requirements for TLIR0004 Negotiate a contract</w:t>
      </w:r>
    </w:p>
    <w:p w:rsidR="00000000" w:rsidRPr="009634AE" w:rsidP="009634AE">
      <w:pPr>
        <w:pStyle w:val="Heading1"/>
      </w:pPr>
      <w:bookmarkStart w:id="1" w:name="O_1198097"/>
      <w:bookmarkEnd w:id="1"/>
      <w:r w:rsidRPr="009634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3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4AE" w:rsidP="009634AE">
            <w:pPr>
              <w:pStyle w:val="BodyText"/>
            </w:pPr>
            <w:r w:rsidRPr="009634AE">
              <w:rPr>
                <w:rStyle w:val="SpecialBold"/>
              </w:rPr>
              <w:t>Release 1.</w:t>
            </w:r>
            <w:r w:rsidRPr="009634AE">
              <w:t xml:space="preserve"> This is the first release of this unit of competency in the TLI Transport and Logistics Training Package.</w:t>
            </w:r>
          </w:p>
        </w:tc>
      </w:tr>
    </w:tbl>
    <w:p w:rsidR="005D0E39" w:rsidP="009634AE">
      <w:pPr>
        <w:pStyle w:val="NoPaddingFontSize1"/>
      </w:pPr>
    </w:p>
    <w:p w:rsidR="005D0E39" w:rsidP="009634AE">
      <w:pPr>
        <w:pStyle w:val="NoPaddingFontSize1"/>
      </w:pPr>
    </w:p>
    <w:p w:rsidR="00000000" w:rsidRPr="009634AE" w:rsidP="009634AE">
      <w:pPr>
        <w:pStyle w:val="Heading1"/>
      </w:pPr>
      <w:bookmarkStart w:id="2" w:name="O_1198098"/>
      <w:bookmarkEnd w:id="2"/>
      <w:r w:rsidRPr="009634A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3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AE">
            <w:pPr>
              <w:pStyle w:val="BodyText"/>
              <w:rPr>
                <w:lang w:val="en-NZ"/>
              </w:rPr>
            </w:pPr>
            <w:r w:rsidRPr="009634AE">
              <w:t xml:space="preserve">Evidence required to demonstrate competence in this unit </w:t>
            </w:r>
            <w:r w:rsidRPr="009634AE">
              <w:t>must be relevant to and satisfy all the requirements of the elements and performance criteria on at least one occasion and include:</w:t>
            </w:r>
          </w:p>
        </w:tc>
      </w:tr>
      <w:tr w:rsidTr="00963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4AE" w:rsidP="009634AE">
            <w:pPr>
              <w:pStyle w:val="ListBullet"/>
            </w:pPr>
            <w:r w:rsidRPr="009634AE">
              <w:t>applying relevant legislation and workplace policies and procedures</w:t>
            </w:r>
          </w:p>
          <w:p w:rsidR="00000000" w:rsidRPr="009634AE" w:rsidP="009634AE">
            <w:pPr>
              <w:pStyle w:val="ListBullet"/>
            </w:pPr>
            <w:r w:rsidRPr="009634AE">
              <w:t>communicating and working collaboratively and effectively with others when negotiating a contract</w:t>
            </w:r>
          </w:p>
          <w:p w:rsidR="00000000" w:rsidRPr="009634AE" w:rsidP="009634AE">
            <w:pPr>
              <w:pStyle w:val="ListBullet"/>
            </w:pPr>
            <w:r w:rsidRPr="009634AE">
              <w:t>completing documentation related to negotiating a contract</w:t>
            </w:r>
          </w:p>
          <w:p w:rsidR="00000000" w:rsidRPr="009634AE" w:rsidP="009634AE">
            <w:pPr>
              <w:pStyle w:val="ListBullet"/>
            </w:pPr>
            <w:r w:rsidRPr="009634AE">
              <w:t>modifying a contract to cater for variations in service and/or supply of goods/services</w:t>
            </w:r>
          </w:p>
          <w:p w:rsidR="00000000" w:rsidRPr="009634AE" w:rsidP="009634AE">
            <w:pPr>
              <w:pStyle w:val="ListBullet"/>
            </w:pPr>
            <w:r w:rsidRPr="009634AE">
              <w:t xml:space="preserve">monitoring </w:t>
            </w:r>
            <w:r w:rsidRPr="009634AE">
              <w:t>compliance with agreed key performance indicators (KPIs)</w:t>
            </w:r>
          </w:p>
          <w:p w:rsidR="00000000" w:rsidRPr="009634AE" w:rsidP="009634AE">
            <w:pPr>
              <w:pStyle w:val="ListBullet"/>
            </w:pPr>
            <w:r w:rsidRPr="009634AE">
              <w:t>reading and interpreting procedures and regulatory requirements relevant to negotiating a contract.</w:t>
            </w:r>
          </w:p>
        </w:tc>
      </w:tr>
    </w:tbl>
    <w:p w:rsidR="005D0E39" w:rsidP="009634AE">
      <w:pPr>
        <w:pStyle w:val="NoPaddingFontSize1"/>
      </w:pPr>
    </w:p>
    <w:p w:rsidR="005D0E39" w:rsidP="009634AE">
      <w:pPr>
        <w:pStyle w:val="NoPaddingFontSize1"/>
      </w:pPr>
    </w:p>
    <w:p w:rsidR="00000000" w:rsidRPr="009634AE" w:rsidP="009634AE">
      <w:pPr>
        <w:pStyle w:val="Heading1"/>
      </w:pPr>
      <w:bookmarkStart w:id="3" w:name="O_1198099"/>
      <w:bookmarkEnd w:id="3"/>
      <w:r w:rsidRPr="009634A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3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34AE">
            <w:pPr>
              <w:pStyle w:val="BodyText"/>
              <w:rPr>
                <w:lang w:val="en-NZ"/>
              </w:rPr>
            </w:pPr>
            <w:r w:rsidRPr="009634AE">
              <w:t>Evidence required to demonstrate competence in this unit m</w:t>
            </w:r>
            <w:r w:rsidRPr="009634AE">
              <w:t>ust be relevant to and satisfy all the requirements of the elements and performance criteria on at least one occasion and include:</w:t>
            </w:r>
          </w:p>
        </w:tc>
      </w:tr>
      <w:tr w:rsidTr="00963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4AE" w:rsidP="009634AE">
            <w:pPr>
              <w:pStyle w:val="ListBullet"/>
            </w:pPr>
            <w:r w:rsidRPr="009634AE">
              <w:t>key principles of contracts, including:</w:t>
            </w:r>
          </w:p>
          <w:p w:rsidR="00000000" w:rsidRPr="009634AE" w:rsidP="009634AE">
            <w:pPr>
              <w:pStyle w:val="ListBullet2"/>
            </w:pPr>
            <w:r w:rsidRPr="009634AE">
              <w:t>key legal requirements for the acquisition of service and/or supply of goods/services</w:t>
            </w:r>
          </w:p>
          <w:p w:rsidR="00000000" w:rsidRPr="009634AE" w:rsidP="009634AE">
            <w:pPr>
              <w:pStyle w:val="ListBullet2"/>
            </w:pPr>
            <w:r w:rsidRPr="009634AE">
              <w:t>workplace policies, procedures and relevant documentation for contract negotiation</w:t>
            </w:r>
          </w:p>
          <w:p w:rsidR="00000000" w:rsidRPr="009634AE" w:rsidP="009634AE">
            <w:pPr>
              <w:pStyle w:val="ListBullet"/>
            </w:pPr>
            <w:r w:rsidRPr="009634AE">
              <w:t xml:space="preserve">key provisions of relevant legislation, codes of practice and national standards that </w:t>
            </w:r>
            <w:r w:rsidRPr="009634AE">
              <w:t>affect contracts for the service and/or supply of goods/services</w:t>
            </w:r>
          </w:p>
          <w:p w:rsidR="00000000" w:rsidRPr="009634AE" w:rsidP="009634AE">
            <w:pPr>
              <w:pStyle w:val="ListBullet"/>
            </w:pPr>
            <w:r w:rsidRPr="009634AE">
              <w:t>knowledge of the service and/or supply of goods/services being supplied</w:t>
            </w:r>
          </w:p>
          <w:p w:rsidR="00000000" w:rsidRPr="009634AE" w:rsidP="009634AE">
            <w:pPr>
              <w:pStyle w:val="ListBullet"/>
            </w:pPr>
            <w:r w:rsidRPr="009634AE">
              <w:t>prequalification processes, including work health and safety (WHS)/occupational health and safety (OHS) and chain of re</w:t>
            </w:r>
            <w:r w:rsidRPr="009634AE">
              <w:t xml:space="preserve">sponsibility compliance </w:t>
            </w:r>
          </w:p>
          <w:p w:rsidR="00000000" w:rsidRPr="009634AE" w:rsidP="009634AE">
            <w:pPr>
              <w:pStyle w:val="ListBullet"/>
            </w:pPr>
            <w:r w:rsidRPr="009634AE">
              <w:t>techniques for negotiation.</w:t>
            </w:r>
          </w:p>
        </w:tc>
      </w:tr>
    </w:tbl>
    <w:p w:rsidR="005D0E39" w:rsidP="009634AE">
      <w:pPr>
        <w:pStyle w:val="NoPaddingFontSize1"/>
      </w:pPr>
    </w:p>
    <w:p w:rsidR="005D0E39" w:rsidP="009634AE">
      <w:pPr>
        <w:pStyle w:val="NoPaddingFontSize1"/>
      </w:pPr>
    </w:p>
    <w:p w:rsidR="00000000" w:rsidRPr="009634AE" w:rsidP="009634AE">
      <w:pPr>
        <w:pStyle w:val="Heading1"/>
      </w:pPr>
      <w:bookmarkStart w:id="4" w:name="O_1198100"/>
      <w:bookmarkEnd w:id="4"/>
      <w:r w:rsidRPr="009634A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34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34AE" w:rsidP="009634AE">
            <w:pPr>
              <w:pStyle w:val="BodyText"/>
            </w:pPr>
            <w:r w:rsidRPr="009634AE">
              <w:t xml:space="preserve">Assessors must hold credentials specified within the Standards for Registered Training Organisations current at the time of assessment. </w:t>
            </w:r>
          </w:p>
          <w:p w:rsidR="00000000" w:rsidRPr="009634AE" w:rsidP="009634AE">
            <w:pPr>
              <w:pStyle w:val="BodyText"/>
            </w:pPr>
            <w:r w:rsidRPr="009634AE">
              <w:t xml:space="preserve">Assessment must satisfy the Principles of Assessment and Rules of Evidence and all regulatory requirements included within the Standards for Registered Training Organisations current at the </w:t>
            </w:r>
            <w:r w:rsidRPr="009634AE">
              <w:t>time of assessment.</w:t>
            </w:r>
          </w:p>
          <w:p w:rsidR="00000000" w:rsidRPr="009634AE" w:rsidP="009634AE">
            <w:pPr>
              <w:pStyle w:val="BodyText"/>
            </w:pPr>
            <w:r w:rsidRPr="009634AE">
              <w:t>Assessment must occur in workplace operational</w:t>
            </w:r>
            <w:r w:rsidRPr="009634AE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9634AE" w:rsidP="009634AE">
            <w:pPr>
              <w:pStyle w:val="BodyText"/>
            </w:pPr>
            <w:r w:rsidRPr="009634AE">
              <w:t>Assessment processes and techniques must be appropriate to the language, l</w:t>
            </w:r>
            <w:r w:rsidRPr="009634AE">
              <w:t>iteracy and numeracy requirements of the work being performed and the needs of the candidate.</w:t>
            </w:r>
          </w:p>
          <w:p w:rsidR="00000000" w:rsidRPr="009634AE" w:rsidP="009634AE">
            <w:pPr>
              <w:pStyle w:val="BodyText"/>
            </w:pPr>
            <w:r w:rsidRPr="009634AE">
              <w:t>Resources for assessment must include access to:</w:t>
            </w:r>
          </w:p>
          <w:p w:rsidR="00000000" w:rsidRPr="009634AE" w:rsidP="009634AE">
            <w:pPr>
              <w:pStyle w:val="ListBullet2"/>
            </w:pPr>
            <w:r w:rsidRPr="009634AE">
              <w:t>a range of relevant exercises, case studies and/or simulations</w:t>
            </w:r>
          </w:p>
          <w:p w:rsidR="00000000" w:rsidRPr="009634AE" w:rsidP="009634AE">
            <w:pPr>
              <w:pStyle w:val="ListBullet2"/>
            </w:pPr>
            <w:r w:rsidRPr="009634AE">
              <w:t>relevant and appropriate materials, tools, equipment and personal protective equipment (PPE) currently used in industry</w:t>
            </w:r>
          </w:p>
          <w:p w:rsidR="00000000" w:rsidRPr="009634AE" w:rsidP="009634AE">
            <w:pPr>
              <w:pStyle w:val="ListBullet2"/>
            </w:pPr>
            <w:r w:rsidRPr="009634AE">
              <w:t>applicable documentation, including legislation, regulations, codes of practice, workplace procedures and operation manuals.</w:t>
            </w:r>
          </w:p>
        </w:tc>
      </w:tr>
    </w:tbl>
    <w:p w:rsidR="005D0E39" w:rsidP="009634AE">
      <w:pPr>
        <w:pStyle w:val="NoPaddingFontSize1"/>
      </w:pPr>
    </w:p>
    <w:p w:rsidR="005D0E39" w:rsidP="009634AE">
      <w:pPr>
        <w:pStyle w:val="NoPaddingFontSize1"/>
      </w:pPr>
    </w:p>
    <w:p w:rsidR="00000000" w:rsidRPr="009634AE" w:rsidP="009634AE">
      <w:pPr>
        <w:pStyle w:val="Heading1"/>
      </w:pPr>
      <w:bookmarkStart w:id="5" w:name="O_1198103"/>
      <w:bookmarkEnd w:id="5"/>
      <w:r w:rsidRPr="009634AE">
        <w:t>Links</w:t>
      </w:r>
    </w:p>
    <w:p w:rsidR="00000000" w:rsidRPr="009634AE" w:rsidP="005D0E39">
      <w:pPr>
        <w:pStyle w:val="BodyText"/>
      </w:pPr>
      <w:r w:rsidRPr="009634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A260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634AE" w:rsidP="009634AE"/>
    <w:sectPr w:rsidSect="009634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4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4AE" w:rsidRPr="005D0E39" w:rsidP="005D0E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4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E39" w:rsidP="009634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0E39" w:rsidP="009634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D0E39" w:rsidP="009634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4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E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34AE" w:rsidRPr="005D0E39" w:rsidP="005D0E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4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E39" w:rsidRPr="002D2AF8" w:rsidP="009634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TLIR0004 Negotiate a contract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D0E39" w:rsidP="009634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0465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A42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0C7C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4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34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34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34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34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34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34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34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34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34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34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34AE"/>
  </w:style>
  <w:style w:type="character" w:customStyle="1" w:styleId="Heading1Char">
    <w:name w:val="Heading 1 Char"/>
    <w:basedOn w:val="DefaultParagraphFont"/>
    <w:link w:val="Heading1"/>
    <w:rsid w:val="009634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34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34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34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34AE"/>
    <w:rPr>
      <w:b/>
      <w:spacing w:val="0"/>
    </w:rPr>
  </w:style>
  <w:style w:type="paragraph" w:styleId="ListBullet2">
    <w:name w:val="List Bullet 2"/>
    <w:basedOn w:val="List2"/>
    <w:rsid w:val="009634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34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34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634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34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34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3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3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3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3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34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34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34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34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34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34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34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34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34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34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34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34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34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34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34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34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34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34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34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34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34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34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34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34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34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34AE"/>
    <w:rPr>
      <w:i/>
    </w:rPr>
  </w:style>
  <w:style w:type="paragraph" w:styleId="Caption">
    <w:name w:val="caption"/>
    <w:basedOn w:val="BodyText"/>
    <w:next w:val="Normal"/>
    <w:qFormat/>
    <w:rsid w:val="009634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34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34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34AE"/>
  </w:style>
  <w:style w:type="paragraph" w:styleId="TableofFigures">
    <w:name w:val="table of figures"/>
    <w:basedOn w:val="Normal"/>
    <w:next w:val="Normal"/>
    <w:semiHidden/>
    <w:rsid w:val="009634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34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34AE"/>
    <w:rPr>
      <w:rFonts w:ascii="Wingdings" w:hAnsi="Wingdings"/>
    </w:rPr>
  </w:style>
  <w:style w:type="paragraph" w:customStyle="1" w:styleId="TableHeading">
    <w:name w:val="Table Heading"/>
    <w:basedOn w:val="HeadingBase"/>
    <w:rsid w:val="009634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34AE"/>
    <w:rPr>
      <w:color w:val="0033CC"/>
      <w:u w:val="none"/>
    </w:rPr>
  </w:style>
  <w:style w:type="paragraph" w:customStyle="1" w:styleId="BodyTextRight">
    <w:name w:val="Body Text Right"/>
    <w:basedOn w:val="BodyText"/>
    <w:rsid w:val="009634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34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34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34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34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34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34AE"/>
    <w:rPr>
      <w:sz w:val="32"/>
    </w:rPr>
  </w:style>
  <w:style w:type="paragraph" w:customStyle="1" w:styleId="HeadingProcedure">
    <w:name w:val="Heading Procedure"/>
    <w:basedOn w:val="HeadingBase"/>
    <w:next w:val="Normal"/>
    <w:rsid w:val="009634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34AE"/>
    <w:pPr>
      <w:spacing w:before="60" w:after="60"/>
    </w:pPr>
  </w:style>
  <w:style w:type="paragraph" w:styleId="ListContinue">
    <w:name w:val="List Continue"/>
    <w:basedOn w:val="List"/>
    <w:rsid w:val="009634AE"/>
    <w:pPr>
      <w:ind w:firstLine="0"/>
    </w:pPr>
  </w:style>
  <w:style w:type="paragraph" w:customStyle="1" w:styleId="ListNote">
    <w:name w:val="List Note"/>
    <w:basedOn w:val="List"/>
    <w:rsid w:val="009634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34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34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34AE"/>
    <w:rPr>
      <w:rFonts w:ascii="Courier New" w:hAnsi="Courier New"/>
    </w:rPr>
  </w:style>
  <w:style w:type="paragraph" w:customStyle="1" w:styleId="NoteBullet">
    <w:name w:val="Note Bullet"/>
    <w:basedOn w:val="Note"/>
    <w:rsid w:val="009634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34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34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34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34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34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34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34AE"/>
    <w:rPr>
      <w:b/>
      <w:smallCaps/>
    </w:rPr>
  </w:style>
  <w:style w:type="paragraph" w:customStyle="1" w:styleId="TableListNumber">
    <w:name w:val="Table List Number"/>
    <w:basedOn w:val="ListNumber"/>
    <w:rsid w:val="009634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34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34AE"/>
    <w:pPr>
      <w:numPr>
        <w:numId w:val="9"/>
      </w:numPr>
    </w:pPr>
  </w:style>
  <w:style w:type="paragraph" w:customStyle="1" w:styleId="ListAlpha2">
    <w:name w:val="List Alpha 2"/>
    <w:basedOn w:val="List2"/>
    <w:rsid w:val="009634AE"/>
    <w:pPr>
      <w:numPr>
        <w:numId w:val="8"/>
      </w:numPr>
    </w:pPr>
  </w:style>
  <w:style w:type="paragraph" w:styleId="List2">
    <w:name w:val="List 2"/>
    <w:basedOn w:val="BodyText"/>
    <w:rsid w:val="009634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34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34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34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34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34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34AE"/>
    <w:pPr>
      <w:numPr>
        <w:numId w:val="4"/>
      </w:numPr>
    </w:pPr>
  </w:style>
  <w:style w:type="paragraph" w:styleId="ListContinue2">
    <w:name w:val="List Continue 2"/>
    <w:basedOn w:val="List2"/>
    <w:rsid w:val="009634AE"/>
    <w:pPr>
      <w:ind w:firstLine="0"/>
    </w:pPr>
  </w:style>
  <w:style w:type="paragraph" w:styleId="ListContinue3">
    <w:name w:val="List Continue 3"/>
    <w:basedOn w:val="List3"/>
    <w:rsid w:val="009634AE"/>
    <w:pPr>
      <w:ind w:left="1021" w:firstLine="0"/>
    </w:pPr>
  </w:style>
  <w:style w:type="paragraph" w:styleId="ListContinue4">
    <w:name w:val="List Continue 4"/>
    <w:basedOn w:val="List4"/>
    <w:rsid w:val="009634AE"/>
    <w:pPr>
      <w:ind w:firstLine="0"/>
    </w:pPr>
  </w:style>
  <w:style w:type="paragraph" w:styleId="ListContinue5">
    <w:name w:val="List Continue 5"/>
    <w:basedOn w:val="List5"/>
    <w:rsid w:val="009634AE"/>
    <w:pPr>
      <w:ind w:firstLine="0"/>
    </w:pPr>
  </w:style>
  <w:style w:type="paragraph" w:styleId="ListNumber3">
    <w:name w:val="List Number 3"/>
    <w:basedOn w:val="List3"/>
    <w:rsid w:val="009634AE"/>
    <w:pPr>
      <w:numPr>
        <w:numId w:val="5"/>
      </w:numPr>
    </w:pPr>
  </w:style>
  <w:style w:type="paragraph" w:styleId="ListNumber4">
    <w:name w:val="List Number 4"/>
    <w:basedOn w:val="List4"/>
    <w:rsid w:val="009634AE"/>
    <w:pPr>
      <w:numPr>
        <w:numId w:val="6"/>
      </w:numPr>
    </w:pPr>
  </w:style>
  <w:style w:type="paragraph" w:styleId="ListNumber5">
    <w:name w:val="List Number 5"/>
    <w:basedOn w:val="List5"/>
    <w:rsid w:val="009634AE"/>
    <w:pPr>
      <w:numPr>
        <w:numId w:val="7"/>
      </w:numPr>
    </w:pPr>
  </w:style>
  <w:style w:type="paragraph" w:styleId="BlockText">
    <w:name w:val="Block Text"/>
    <w:basedOn w:val="Normal"/>
    <w:rsid w:val="009634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34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34AE"/>
    <w:rPr>
      <w:sz w:val="16"/>
      <w:vertAlign w:val="superscript"/>
    </w:rPr>
  </w:style>
  <w:style w:type="character" w:customStyle="1" w:styleId="Symbols">
    <w:name w:val="Symbols"/>
    <w:basedOn w:val="DefaultParagraphFont"/>
    <w:rsid w:val="009634AE"/>
    <w:rPr>
      <w:rFonts w:ascii="Symbol" w:hAnsi="Symbol"/>
    </w:rPr>
  </w:style>
  <w:style w:type="character" w:customStyle="1" w:styleId="MenuOptions">
    <w:name w:val="Menu Options"/>
    <w:basedOn w:val="DefaultParagraphFont"/>
    <w:rsid w:val="009634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34AE"/>
    <w:rPr>
      <w:b/>
    </w:rPr>
  </w:style>
  <w:style w:type="character" w:customStyle="1" w:styleId="Underlined">
    <w:name w:val="Underlined"/>
    <w:basedOn w:val="DefaultParagraphFont"/>
    <w:rsid w:val="009634AE"/>
    <w:rPr>
      <w:u w:val="single"/>
    </w:rPr>
  </w:style>
  <w:style w:type="paragraph" w:customStyle="1" w:styleId="TableBodyTextRight">
    <w:name w:val="Table Body Text Right"/>
    <w:basedOn w:val="TableBodyText"/>
    <w:rsid w:val="009634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34AE"/>
    <w:rPr>
      <w:sz w:val="18"/>
    </w:rPr>
  </w:style>
  <w:style w:type="paragraph" w:customStyle="1" w:styleId="BodySmallRight">
    <w:name w:val="Body Small Right"/>
    <w:basedOn w:val="BodyTextRight"/>
    <w:rsid w:val="009634AE"/>
    <w:rPr>
      <w:sz w:val="18"/>
      <w:szCs w:val="18"/>
    </w:rPr>
  </w:style>
  <w:style w:type="paragraph" w:customStyle="1" w:styleId="MarginEdition">
    <w:name w:val="Margin Edition"/>
    <w:basedOn w:val="MarginNote"/>
    <w:rsid w:val="009634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34AE"/>
    <w:rPr>
      <w:sz w:val="2"/>
      <w:szCs w:val="2"/>
    </w:rPr>
  </w:style>
  <w:style w:type="character" w:customStyle="1" w:styleId="Small">
    <w:name w:val="Small"/>
    <w:basedOn w:val="DefaultParagraphFont"/>
    <w:rsid w:val="009634AE"/>
    <w:rPr>
      <w:sz w:val="16"/>
    </w:rPr>
  </w:style>
  <w:style w:type="paragraph" w:customStyle="1" w:styleId="WideTable">
    <w:name w:val="Wide Table"/>
    <w:basedOn w:val="Normal"/>
    <w:rsid w:val="009634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34AE"/>
  </w:style>
  <w:style w:type="paragraph" w:styleId="Quote">
    <w:name w:val="Quote"/>
    <w:basedOn w:val="Heading1"/>
    <w:link w:val="QuoteChar"/>
    <w:qFormat/>
    <w:rsid w:val="009634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34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34AE"/>
    <w:pPr>
      <w:pageBreakBefore/>
    </w:pPr>
  </w:style>
  <w:style w:type="paragraph" w:customStyle="1" w:styleId="Border">
    <w:name w:val="Border"/>
    <w:basedOn w:val="Normal"/>
    <w:qFormat/>
    <w:rsid w:val="009634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34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4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4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34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34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34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34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34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34AE"/>
    <w:rPr>
      <w:u w:val="single"/>
    </w:rPr>
  </w:style>
  <w:style w:type="character" w:customStyle="1" w:styleId="BoldandItalics">
    <w:name w:val="Bold and Italics"/>
    <w:qFormat/>
    <w:rsid w:val="009634AE"/>
    <w:rPr>
      <w:b/>
      <w:i/>
      <w:u w:val="none"/>
    </w:rPr>
  </w:style>
  <w:style w:type="paragraph" w:styleId="BalloonText">
    <w:name w:val="Balloon Text"/>
    <w:basedOn w:val="Normal"/>
    <w:link w:val="BalloonTextChar"/>
    <w:rsid w:val="009634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34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34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34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34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34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34AE"/>
    <w:pPr>
      <w:spacing w:before="0" w:after="0"/>
    </w:pPr>
  </w:style>
  <w:style w:type="paragraph" w:customStyle="1" w:styleId="BodyTextBold">
    <w:name w:val="Body Text Bold"/>
    <w:basedOn w:val="BodyText"/>
    <w:qFormat/>
    <w:rsid w:val="009634AE"/>
    <w:rPr>
      <w:b/>
    </w:rPr>
  </w:style>
  <w:style w:type="character" w:styleId="Hyperlink">
    <w:name w:val="Hyperlink"/>
    <w:basedOn w:val="DefaultParagraphFont"/>
    <w:uiPriority w:val="99"/>
    <w:unhideWhenUsed/>
    <w:rsid w:val="005D0E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421</Words>
  <Characters>2806</Characters>
  <Application>Microsoft Office Word</Application>
  <DocSecurity>0</DocSecurity>
  <Lines>62</Lines>
  <Paragraphs>39</Paragraphs>
  <ScaleCrop>false</ScaleCrop>
  <Company>Author-it Software Corporation Ltd.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TLIR0004 Negotiate a contract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