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416" w:rsidP="002D0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TLIR0003 Monitor supplier performance</w:t>
      </w:r>
      <w:r>
        <w:fldChar w:fldCharType="end"/>
      </w:r>
    </w:p>
    <w:p w:rsidR="002D0416" w:rsidP="002D0416">
      <w:pPr>
        <w:pStyle w:val="Version"/>
        <w:sectPr w:rsidSect="00F43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E32" w:rsidP="00F43E32">
      <w:pPr>
        <w:pStyle w:val="SuperHeading"/>
      </w:pPr>
      <w:r w:rsidRPr="00F43E32">
        <w:t>TLIR0003 Monitor supplier performance</w:t>
      </w:r>
    </w:p>
    <w:p w:rsidR="00000000" w:rsidRPr="00F43E32" w:rsidP="00F43E32">
      <w:pPr>
        <w:pStyle w:val="Heading1"/>
      </w:pPr>
      <w:bookmarkStart w:id="1" w:name="O_1194840"/>
      <w:bookmarkEnd w:id="1"/>
      <w:r w:rsidRPr="00F43E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rPr>
                <w:rStyle w:val="SpecialBold"/>
              </w:rPr>
              <w:t>Release 1.</w:t>
            </w:r>
            <w:r w:rsidRPr="00F43E32">
              <w:t xml:space="preserve"> This is the first release of this unit of competency in the TLI Transport and Logistics Training Package.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2" w:name="O_1194841"/>
      <w:bookmarkEnd w:id="2"/>
      <w:r w:rsidRPr="00F43E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This unit involves the skills and knowledge required to monitor supplier performance</w:t>
            </w:r>
            <w:r w:rsidRPr="00F43E32">
              <w:t>.</w:t>
            </w:r>
          </w:p>
          <w:p w:rsidR="00000000" w:rsidRPr="00F43E32" w:rsidP="00F43E32">
            <w:pPr>
              <w:pStyle w:val="BodyText"/>
            </w:pPr>
            <w:r w:rsidRPr="00F43E32">
              <w:t xml:space="preserve">It includes implementing procedures for monitoring supplier performance, monitoring for conformity to contracted requirements and completing all required documentation. </w:t>
            </w:r>
          </w:p>
          <w:p w:rsidR="00000000" w:rsidRPr="00F43E32" w:rsidP="00F43E32">
            <w:pPr>
              <w:pStyle w:val="BodyText"/>
            </w:pPr>
            <w:r w:rsidRPr="00F43E32">
              <w:t>Work is performed under general guidance on progress and outcomes of work. It involv</w:t>
            </w:r>
            <w:r w:rsidRPr="00F43E32">
              <w:t xml:space="preserve">es discretion and judgement for self and others in monitoring supplier performance. </w:t>
            </w:r>
          </w:p>
          <w:p w:rsidR="00000000" w:rsidRPr="00F43E32" w:rsidP="00F43E32">
            <w:pPr>
              <w:pStyle w:val="BodyText"/>
            </w:pPr>
            <w:r w:rsidRPr="00F43E32">
              <w:t>Work involves responsibility for resource coordination and allocation, and for leading individuals or teams.</w:t>
            </w:r>
          </w:p>
          <w:p w:rsidR="00000000" w:rsidRPr="00F43E32" w:rsidP="00F43E32">
            <w:pPr>
              <w:pStyle w:val="BodyText"/>
            </w:pPr>
            <w:r w:rsidRPr="00F43E32">
              <w:t xml:space="preserve">No licensing, legislative or certification requirements apply </w:t>
            </w:r>
            <w:r w:rsidRPr="00F43E32">
              <w:t>to this unit at the time of publication.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3" w:name="O_1194842"/>
      <w:bookmarkEnd w:id="3"/>
      <w:r w:rsidRPr="00F43E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Not applicable.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4" w:name="O_1194843"/>
      <w:bookmarkEnd w:id="4"/>
      <w:r w:rsidRPr="00F43E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R – Contract Procurement.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5" w:name="O_1194844"/>
      <w:bookmarkEnd w:id="5"/>
      <w:r w:rsidRPr="00F43E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Not applicable.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6" w:name="O_1194845"/>
      <w:bookmarkEnd w:id="6"/>
      <w:r w:rsidRPr="00F43E32">
        <w:t>Elements and Performance Criteria</w:t>
      </w:r>
    </w:p>
    <w:tbl>
      <w:tblPr>
        <w:tblW w:w="96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244"/>
        <w:gridCol w:w="490"/>
        <w:gridCol w:w="6397"/>
        <w:gridCol w:w="165"/>
      </w:tblGrid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Elements describe the essential outcomes.</w:t>
            </w:r>
          </w:p>
        </w:tc>
        <w:tc>
          <w:tcPr>
            <w:tcW w:w="68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Performance criteria describe the performance needed to demonstrate achievement of the element.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rPr>
                <w:rStyle w:val="SpecialBold"/>
              </w:rPr>
              <w:t>1</w:t>
            </w:r>
          </w:p>
        </w:tc>
        <w:tc>
          <w:tcPr>
            <w:tcW w:w="22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rPr>
                <w:rStyle w:val="SpecialBold"/>
              </w:rPr>
              <w:t>Implement procedures for monitoring supplier performance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1.1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Relevant legislation to administer a supplier contract is accessed and applied to the current supplier contract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1.2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Preferred supplier list is reviewed for previous contractual performance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1.3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Key contractual milestones are identified, recorded and kept with supplier contract in accordance with workplace procedures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1.4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Risk controls are determined, recorded and actioned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1.5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Procedures for receiving supplier goods or services are reviewed w</w:t>
            </w:r>
            <w:r w:rsidRPr="00F43E32">
              <w:t>ith appropriate personnel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rPr>
                <w:rStyle w:val="SpecialBold"/>
              </w:rPr>
              <w:t>2</w:t>
            </w:r>
          </w:p>
        </w:tc>
        <w:tc>
          <w:tcPr>
            <w:tcW w:w="22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rPr>
                <w:rStyle w:val="SpecialBold"/>
              </w:rPr>
              <w:t>Monitor supplier contract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2.1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Supplied goods or services are assessed for conformity with advised criteria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2.2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Non-conformance of supplier with contracted requirements is investigated and accurately detailed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2.3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Actions to rectify non-conformance are undertaken in accordance with workplace procedures and within scope of authority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2.4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Issues of non-conformance beyond scope of authority are referred to designated personnel in accordance with workplace operating p</w:t>
            </w:r>
            <w:r w:rsidRPr="00F43E32">
              <w:t>rocedures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2.5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Contractual milestones and risks are continually monitored and follow-up action taken, as required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rPr>
                <w:rStyle w:val="SpecialBold"/>
              </w:rPr>
              <w:t>3</w:t>
            </w:r>
          </w:p>
        </w:tc>
        <w:tc>
          <w:tcPr>
            <w:tcW w:w="22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rPr>
                <w:rStyle w:val="SpecialBold"/>
              </w:rPr>
              <w:t>Complete documentation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3.1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Annotations and performance assessment/evaluations are completed and appended to supplier file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3.2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t>Action taken in regard to non-conformance of contracted requirements is documented and appended to supplier file</w:t>
            </w:r>
          </w:p>
        </w:tc>
      </w:tr>
      <w:tr w:rsidTr="00F43E32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>
            <w:pPr>
              <w:pStyle w:val="BodyText"/>
              <w:keepLines w:val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E32">
            <w:pPr>
              <w:pStyle w:val="BodyText"/>
              <w:rPr>
                <w:lang w:val="en-NZ"/>
              </w:rPr>
            </w:pPr>
            <w:r w:rsidRPr="00F43E32">
              <w:rPr>
                <w:rStyle w:val="SpecialBold"/>
              </w:rPr>
              <w:t>3.3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System records are maintained and updated in accordance with workplace management system and required regulatory requirements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7" w:name="O_1194846"/>
      <w:bookmarkEnd w:id="7"/>
      <w:r w:rsidRPr="00F43E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Foundation skills essential to performance are explicit in the performance criteria of this unit of competency.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8" w:name="O_1194847"/>
      <w:bookmarkEnd w:id="8"/>
      <w:r w:rsidRPr="00F43E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Range is restricted to essential operating conditions and any othe</w:t>
            </w:r>
            <w:r w:rsidRPr="00F43E32">
              <w:t>r variables essential to the work environment.</w:t>
            </w:r>
          </w:p>
          <w:p w:rsidR="00000000" w:rsidRPr="00F43E32" w:rsidP="00F43E32">
            <w:pPr>
              <w:pStyle w:val="BodyText"/>
            </w:pPr>
            <w:r w:rsidRPr="00F43E32">
              <w:t>Non-essential conditions can be found in the TLI Transport and Logistics Training Package Companion Volume Implementation Guide.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9" w:name="O_1194848"/>
      <w:bookmarkEnd w:id="9"/>
      <w:r w:rsidRPr="00F43E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E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E32" w:rsidP="00F43E32">
            <w:pPr>
              <w:pStyle w:val="BodyText"/>
            </w:pPr>
            <w:r w:rsidRPr="00F43E32">
              <w:t>This unit replaces and is equivalent to TLIR4001 Monitor supplier performance.</w:t>
            </w:r>
          </w:p>
        </w:tc>
      </w:tr>
    </w:tbl>
    <w:p w:rsidR="002D0416" w:rsidP="00F43E32">
      <w:pPr>
        <w:pStyle w:val="NoPaddingFontSize1"/>
      </w:pPr>
    </w:p>
    <w:p w:rsidR="002D0416" w:rsidP="00F43E32">
      <w:pPr>
        <w:pStyle w:val="NoPaddingFontSize1"/>
      </w:pPr>
    </w:p>
    <w:p w:rsidR="00000000" w:rsidRPr="00F43E32" w:rsidP="00F43E32">
      <w:pPr>
        <w:pStyle w:val="Heading1"/>
      </w:pPr>
      <w:bookmarkStart w:id="10" w:name="O_1194855"/>
      <w:bookmarkEnd w:id="10"/>
      <w:r w:rsidRPr="00F43E32">
        <w:t>Links</w:t>
      </w:r>
    </w:p>
    <w:p w:rsidR="00000000" w:rsidRPr="00F43E32" w:rsidP="002D0416">
      <w:pPr>
        <w:pStyle w:val="BodyText"/>
      </w:pPr>
      <w:r w:rsidRPr="00F43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03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3E32" w:rsidP="00F43E32"/>
    <w:sectPr w:rsidSect="00F43E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32" w:rsidRPr="002D0416" w:rsidP="002D0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16" w:rsidP="00F43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416" w:rsidP="00F43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0416" w:rsidP="00F43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E32" w:rsidRPr="002D0416" w:rsidP="002D0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16" w:rsidRPr="002D2AF8" w:rsidP="00F43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TLIR0003 Monitor supplier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D0416" w:rsidP="00F43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E32"/>
  </w:style>
  <w:style w:type="character" w:customStyle="1" w:styleId="Heading1Char">
    <w:name w:val="Heading 1 Char"/>
    <w:basedOn w:val="DefaultParagraphFont"/>
    <w:link w:val="Heading1"/>
    <w:rsid w:val="00F43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E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3E32"/>
    <w:rPr>
      <w:b/>
      <w:spacing w:val="0"/>
    </w:rPr>
  </w:style>
  <w:style w:type="paragraph" w:customStyle="1" w:styleId="SuperHeading">
    <w:name w:val="SuperHeading"/>
    <w:basedOn w:val="Normal"/>
    <w:rsid w:val="00F43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3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E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E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3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E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E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E32"/>
    <w:rPr>
      <w:i/>
    </w:rPr>
  </w:style>
  <w:style w:type="paragraph" w:styleId="Caption">
    <w:name w:val="caption"/>
    <w:basedOn w:val="BodyText"/>
    <w:next w:val="Normal"/>
    <w:qFormat/>
    <w:rsid w:val="00F43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E32"/>
  </w:style>
  <w:style w:type="paragraph" w:styleId="TableofFigures">
    <w:name w:val="table of figures"/>
    <w:basedOn w:val="Normal"/>
    <w:next w:val="Normal"/>
    <w:semiHidden/>
    <w:rsid w:val="00F43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E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3E32"/>
    <w:rPr>
      <w:rFonts w:ascii="Wingdings" w:hAnsi="Wingdings"/>
    </w:rPr>
  </w:style>
  <w:style w:type="paragraph" w:customStyle="1" w:styleId="TableHeading">
    <w:name w:val="Table Heading"/>
    <w:basedOn w:val="HeadingBase"/>
    <w:rsid w:val="00F43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E32"/>
    <w:rPr>
      <w:color w:val="0033CC"/>
      <w:u w:val="none"/>
    </w:rPr>
  </w:style>
  <w:style w:type="paragraph" w:customStyle="1" w:styleId="BodyTextRight">
    <w:name w:val="Body Text Right"/>
    <w:basedOn w:val="BodyText"/>
    <w:rsid w:val="00F43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E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E32"/>
    <w:rPr>
      <w:sz w:val="32"/>
    </w:rPr>
  </w:style>
  <w:style w:type="paragraph" w:customStyle="1" w:styleId="HeadingProcedure">
    <w:name w:val="Heading Procedure"/>
    <w:basedOn w:val="HeadingBase"/>
    <w:next w:val="Normal"/>
    <w:rsid w:val="00F43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E32"/>
    <w:pPr>
      <w:spacing w:before="60" w:after="60"/>
    </w:pPr>
  </w:style>
  <w:style w:type="paragraph" w:styleId="ListContinue">
    <w:name w:val="List Continue"/>
    <w:basedOn w:val="List"/>
    <w:rsid w:val="00F43E32"/>
    <w:pPr>
      <w:ind w:firstLine="0"/>
    </w:pPr>
  </w:style>
  <w:style w:type="paragraph" w:customStyle="1" w:styleId="ListNote">
    <w:name w:val="List Note"/>
    <w:basedOn w:val="List"/>
    <w:rsid w:val="00F43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E32"/>
    <w:rPr>
      <w:rFonts w:ascii="Courier New" w:hAnsi="Courier New"/>
    </w:rPr>
  </w:style>
  <w:style w:type="paragraph" w:customStyle="1" w:styleId="NoteBullet">
    <w:name w:val="Note Bullet"/>
    <w:basedOn w:val="Note"/>
    <w:rsid w:val="00F43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E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3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E32"/>
    <w:rPr>
      <w:b/>
      <w:smallCaps/>
    </w:rPr>
  </w:style>
  <w:style w:type="paragraph" w:customStyle="1" w:styleId="TableListNumber">
    <w:name w:val="Table List Number"/>
    <w:basedOn w:val="ListNumber"/>
    <w:rsid w:val="00F43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E32"/>
    <w:pPr>
      <w:numPr>
        <w:numId w:val="7"/>
      </w:numPr>
    </w:pPr>
  </w:style>
  <w:style w:type="paragraph" w:customStyle="1" w:styleId="ListAlpha2">
    <w:name w:val="List Alpha 2"/>
    <w:basedOn w:val="List2"/>
    <w:rsid w:val="00F43E32"/>
    <w:pPr>
      <w:numPr>
        <w:numId w:val="6"/>
      </w:numPr>
    </w:pPr>
  </w:style>
  <w:style w:type="paragraph" w:styleId="List2">
    <w:name w:val="List 2"/>
    <w:basedOn w:val="BodyText"/>
    <w:rsid w:val="00F43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E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E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3E32"/>
    <w:pPr>
      <w:numPr>
        <w:numId w:val="2"/>
      </w:numPr>
    </w:pPr>
  </w:style>
  <w:style w:type="paragraph" w:styleId="ListContinue2">
    <w:name w:val="List Continue 2"/>
    <w:basedOn w:val="List2"/>
    <w:rsid w:val="00F43E32"/>
    <w:pPr>
      <w:ind w:firstLine="0"/>
    </w:pPr>
  </w:style>
  <w:style w:type="paragraph" w:styleId="ListContinue3">
    <w:name w:val="List Continue 3"/>
    <w:basedOn w:val="List3"/>
    <w:rsid w:val="00F43E32"/>
    <w:pPr>
      <w:ind w:left="1021" w:firstLine="0"/>
    </w:pPr>
  </w:style>
  <w:style w:type="paragraph" w:styleId="ListContinue4">
    <w:name w:val="List Continue 4"/>
    <w:basedOn w:val="List4"/>
    <w:rsid w:val="00F43E32"/>
    <w:pPr>
      <w:ind w:firstLine="0"/>
    </w:pPr>
  </w:style>
  <w:style w:type="paragraph" w:styleId="ListContinue5">
    <w:name w:val="List Continue 5"/>
    <w:basedOn w:val="List5"/>
    <w:rsid w:val="00F43E32"/>
    <w:pPr>
      <w:ind w:firstLine="0"/>
    </w:pPr>
  </w:style>
  <w:style w:type="paragraph" w:styleId="ListNumber3">
    <w:name w:val="List Number 3"/>
    <w:basedOn w:val="List3"/>
    <w:rsid w:val="00F43E32"/>
    <w:pPr>
      <w:numPr>
        <w:numId w:val="3"/>
      </w:numPr>
    </w:pPr>
  </w:style>
  <w:style w:type="paragraph" w:styleId="ListNumber4">
    <w:name w:val="List Number 4"/>
    <w:basedOn w:val="List4"/>
    <w:rsid w:val="00F43E32"/>
    <w:pPr>
      <w:numPr>
        <w:numId w:val="4"/>
      </w:numPr>
    </w:pPr>
  </w:style>
  <w:style w:type="paragraph" w:styleId="ListNumber5">
    <w:name w:val="List Number 5"/>
    <w:basedOn w:val="List5"/>
    <w:rsid w:val="00F43E32"/>
    <w:pPr>
      <w:numPr>
        <w:numId w:val="5"/>
      </w:numPr>
    </w:pPr>
  </w:style>
  <w:style w:type="paragraph" w:styleId="BlockText">
    <w:name w:val="Block Text"/>
    <w:basedOn w:val="Normal"/>
    <w:rsid w:val="00F43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E32"/>
    <w:rPr>
      <w:sz w:val="16"/>
      <w:vertAlign w:val="superscript"/>
    </w:rPr>
  </w:style>
  <w:style w:type="character" w:customStyle="1" w:styleId="Symbols">
    <w:name w:val="Symbols"/>
    <w:basedOn w:val="DefaultParagraphFont"/>
    <w:rsid w:val="00F43E32"/>
    <w:rPr>
      <w:rFonts w:ascii="Symbol" w:hAnsi="Symbol"/>
    </w:rPr>
  </w:style>
  <w:style w:type="character" w:customStyle="1" w:styleId="MenuOptions">
    <w:name w:val="Menu Options"/>
    <w:basedOn w:val="DefaultParagraphFont"/>
    <w:rsid w:val="00F43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E32"/>
    <w:rPr>
      <w:b/>
    </w:rPr>
  </w:style>
  <w:style w:type="character" w:customStyle="1" w:styleId="Underlined">
    <w:name w:val="Underlined"/>
    <w:basedOn w:val="DefaultParagraphFont"/>
    <w:rsid w:val="00F43E32"/>
    <w:rPr>
      <w:u w:val="single"/>
    </w:rPr>
  </w:style>
  <w:style w:type="paragraph" w:customStyle="1" w:styleId="TableBodyTextRight">
    <w:name w:val="Table Body Text Right"/>
    <w:basedOn w:val="TableBodyText"/>
    <w:rsid w:val="00F43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E32"/>
    <w:rPr>
      <w:sz w:val="18"/>
    </w:rPr>
  </w:style>
  <w:style w:type="paragraph" w:customStyle="1" w:styleId="BodySmallRight">
    <w:name w:val="Body Small Right"/>
    <w:basedOn w:val="BodyTextRight"/>
    <w:rsid w:val="00F43E32"/>
    <w:rPr>
      <w:sz w:val="18"/>
      <w:szCs w:val="18"/>
    </w:rPr>
  </w:style>
  <w:style w:type="paragraph" w:customStyle="1" w:styleId="MarginEdition">
    <w:name w:val="Margin Edition"/>
    <w:basedOn w:val="MarginNote"/>
    <w:rsid w:val="00F43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E32"/>
    <w:rPr>
      <w:sz w:val="2"/>
      <w:szCs w:val="2"/>
    </w:rPr>
  </w:style>
  <w:style w:type="character" w:customStyle="1" w:styleId="Small">
    <w:name w:val="Small"/>
    <w:basedOn w:val="DefaultParagraphFont"/>
    <w:rsid w:val="00F43E32"/>
    <w:rPr>
      <w:sz w:val="16"/>
    </w:rPr>
  </w:style>
  <w:style w:type="paragraph" w:customStyle="1" w:styleId="WideTable">
    <w:name w:val="Wide Table"/>
    <w:basedOn w:val="Normal"/>
    <w:rsid w:val="00F43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E32"/>
  </w:style>
  <w:style w:type="paragraph" w:styleId="Quote">
    <w:name w:val="Quote"/>
    <w:basedOn w:val="Heading1"/>
    <w:link w:val="QuoteChar"/>
    <w:qFormat/>
    <w:rsid w:val="00F43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E32"/>
    <w:pPr>
      <w:pageBreakBefore/>
    </w:pPr>
  </w:style>
  <w:style w:type="paragraph" w:customStyle="1" w:styleId="Border">
    <w:name w:val="Border"/>
    <w:basedOn w:val="Normal"/>
    <w:qFormat/>
    <w:rsid w:val="00F43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E32"/>
    <w:rPr>
      <w:u w:val="single"/>
    </w:rPr>
  </w:style>
  <w:style w:type="character" w:customStyle="1" w:styleId="BoldandItalics">
    <w:name w:val="Bold and Italics"/>
    <w:qFormat/>
    <w:rsid w:val="00F43E32"/>
    <w:rPr>
      <w:b/>
      <w:i/>
      <w:u w:val="none"/>
    </w:rPr>
  </w:style>
  <w:style w:type="paragraph" w:styleId="BalloonText">
    <w:name w:val="Balloon Text"/>
    <w:basedOn w:val="Normal"/>
    <w:link w:val="BalloonTextChar"/>
    <w:rsid w:val="00F43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E32"/>
    <w:pPr>
      <w:spacing w:before="0" w:after="0"/>
    </w:pPr>
  </w:style>
  <w:style w:type="paragraph" w:customStyle="1" w:styleId="BodyTextBold">
    <w:name w:val="Body Text Bold"/>
    <w:basedOn w:val="BodyText"/>
    <w:qFormat/>
    <w:rsid w:val="00F43E32"/>
    <w:rPr>
      <w:b/>
    </w:rPr>
  </w:style>
  <w:style w:type="character" w:styleId="Hyperlink">
    <w:name w:val="Hyperlink"/>
    <w:basedOn w:val="DefaultParagraphFont"/>
    <w:uiPriority w:val="99"/>
    <w:unhideWhenUsed/>
    <w:rsid w:val="002D0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3053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TLIR0003 Monitor supplier performance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