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BE9" w:rsidP="004C3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TLIR0003 Monitor supplier performance</w:t>
      </w:r>
      <w:r>
        <w:fldChar w:fldCharType="end"/>
      </w:r>
    </w:p>
    <w:p w:rsidR="004C3BE9" w:rsidP="004C3BE9">
      <w:pPr>
        <w:pStyle w:val="Version"/>
        <w:sectPr w:rsidSect="005A5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11A" w:rsidP="005A511A">
      <w:pPr>
        <w:pStyle w:val="SuperHeading"/>
      </w:pPr>
      <w:r w:rsidRPr="005A511A">
        <w:t>TLIR0003 Monitor supplier performance</w:t>
      </w:r>
    </w:p>
    <w:p w:rsidR="00000000" w:rsidRPr="005A511A" w:rsidP="005A511A">
      <w:pPr>
        <w:pStyle w:val="Heading1"/>
      </w:pPr>
      <w:bookmarkStart w:id="1" w:name="O_1194840"/>
      <w:bookmarkEnd w:id="1"/>
      <w:r w:rsidRPr="005A51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>Release 1.</w:t>
            </w:r>
            <w:r w:rsidRPr="005A511A">
              <w:t xml:space="preserve"> This is the first release of this unit of competency in the TLI Transport and Logistics Training Package.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2" w:name="O_1194841"/>
      <w:bookmarkEnd w:id="2"/>
      <w:r w:rsidRPr="005A51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This unit involves the skills and knowledge required to monitor supplier performance</w:t>
            </w:r>
            <w:r w:rsidRPr="005A511A">
              <w:t>.</w:t>
            </w:r>
          </w:p>
          <w:p w:rsidR="00000000" w:rsidRPr="005A511A" w:rsidP="005A511A">
            <w:pPr>
              <w:pStyle w:val="BodyText"/>
            </w:pPr>
            <w:r w:rsidRPr="005A511A">
              <w:t xml:space="preserve">It includes implementing procedures for monitoring supplier performance, monitoring for conformity to contracted requirements and completing all required documentation. </w:t>
            </w:r>
          </w:p>
          <w:p w:rsidR="00000000" w:rsidRPr="005A511A" w:rsidP="005A511A">
            <w:pPr>
              <w:pStyle w:val="BodyText"/>
            </w:pPr>
            <w:r w:rsidRPr="005A511A">
              <w:t>Work is performed under general guidance on progress and outcomes of work. It involv</w:t>
            </w:r>
            <w:r w:rsidRPr="005A511A">
              <w:t xml:space="preserve">es discretion and judgement for self and others in monitoring supplier performance. </w:t>
            </w:r>
          </w:p>
          <w:p w:rsidR="00000000" w:rsidRPr="005A511A" w:rsidP="005A511A">
            <w:pPr>
              <w:pStyle w:val="BodyText"/>
            </w:pPr>
            <w:r w:rsidRPr="005A511A">
              <w:t>Work involves responsibility for resource coordination and allocation, and for leading individuals or teams.</w:t>
            </w:r>
          </w:p>
          <w:p w:rsidR="00000000" w:rsidRPr="005A511A" w:rsidP="005A511A">
            <w:pPr>
              <w:pStyle w:val="BodyText"/>
            </w:pPr>
            <w:r w:rsidRPr="005A511A">
              <w:t xml:space="preserve">No licensing, legislative or certification requirements apply </w:t>
            </w:r>
            <w:r w:rsidRPr="005A511A">
              <w:t>to this unit at the time of publication.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3" w:name="O_1194842"/>
      <w:bookmarkEnd w:id="3"/>
      <w:r w:rsidRPr="005A51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Not applicable.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4" w:name="O_1194843"/>
      <w:bookmarkEnd w:id="4"/>
      <w:r w:rsidRPr="005A51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R – Contract Procurement.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5" w:name="O_1194844"/>
      <w:bookmarkEnd w:id="5"/>
      <w:r w:rsidRPr="005A51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Not applicable.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6" w:name="O_1194845"/>
      <w:bookmarkEnd w:id="6"/>
      <w:r w:rsidRPr="005A511A">
        <w:t>Elements and Performance Criteria</w:t>
      </w:r>
    </w:p>
    <w:tbl>
      <w:tblPr>
        <w:tblW w:w="96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244"/>
        <w:gridCol w:w="490"/>
        <w:gridCol w:w="6397"/>
        <w:gridCol w:w="165"/>
      </w:tblGrid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5" w:type="dxa"/>
        </w:trPr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Elements describe the essential outcomes.</w:t>
            </w:r>
          </w:p>
        </w:tc>
        <w:tc>
          <w:tcPr>
            <w:tcW w:w="68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Performance criteria describe the performance needed to demonstrate achievement of the element.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>1</w:t>
            </w:r>
          </w:p>
        </w:tc>
        <w:tc>
          <w:tcPr>
            <w:tcW w:w="22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>Implement procedures for monitoring supplier performance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1.1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Relevant legislation to administer a supplier contract is accessed and applied to the current supplier contract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1.2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Preferred supplier list is reviewed for previous contractual performance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1.3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Key contractual milestones are identified, recorded and kept with supplier contract in accordance with workplace procedures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1.4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Risk controls are determined, recorded and actioned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1.5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Procedures for receiving supplier goods or services are reviewed w</w:t>
            </w:r>
            <w:r w:rsidRPr="005A511A">
              <w:t>ith appropriate personnel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>2</w:t>
            </w:r>
          </w:p>
        </w:tc>
        <w:tc>
          <w:tcPr>
            <w:tcW w:w="22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>Monitor supplier contract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2.1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Supplied goods or services are assessed for conformity with advised criteria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2.2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Non-conformance of supplier with contracted requirements is investigated and accurately detailed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2.3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A</w:t>
            </w:r>
            <w:r w:rsidRPr="005A511A">
              <w:t>ctions to rectify non-conformance are undertaken in accordance with workplace procedures and within scope of authority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2.4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Issues of non-conformance beyond scope of authority are referred to designated personnel in accordance with workplace operating pr</w:t>
            </w:r>
            <w:r w:rsidRPr="005A511A">
              <w:t>ocedures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2.5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Contractual milestones and risks are continually monitored and follow-up action taken, as required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>3</w:t>
            </w:r>
          </w:p>
        </w:tc>
        <w:tc>
          <w:tcPr>
            <w:tcW w:w="22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>Complete documentation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3.1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Annotations and performance assessment/evaluations are completed and appended to supplier file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3.2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Action taken in regard to non-conformance of contracted requirements is documented and appended to supplier file</w:t>
            </w:r>
          </w:p>
        </w:tc>
      </w:tr>
      <w:tr w:rsidTr="005A511A">
        <w:tblPrEx>
          <w:tblW w:w="96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>
            <w:pPr>
              <w:pStyle w:val="BodyText"/>
              <w:keepLines w:val="0"/>
              <w:spacing w:before="0" w:after="0"/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rPr>
                <w:rStyle w:val="SpecialBold"/>
              </w:rPr>
              <w:t>3.3</w:t>
            </w:r>
          </w:p>
        </w:tc>
        <w:tc>
          <w:tcPr>
            <w:tcW w:w="6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System records are maintained and updated in accordance with workplace management system and required regulatory requirements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7" w:name="O_1194846"/>
      <w:bookmarkEnd w:id="7"/>
      <w:r w:rsidRPr="005A51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Foundation skills essential to performance are explicit in the performance criteria of this unit of competency.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8" w:name="O_1194847"/>
      <w:bookmarkEnd w:id="8"/>
      <w:r w:rsidRPr="005A51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Range is restricted to essential operating conditions and any other variables essential to the work environment.</w:t>
            </w:r>
          </w:p>
          <w:p w:rsidR="00000000" w:rsidRPr="005A511A" w:rsidP="005A511A">
            <w:pPr>
              <w:pStyle w:val="BodyText"/>
            </w:pPr>
            <w:r w:rsidRPr="005A511A">
              <w:t>Non-essential conditions can be found in the TLI Transport and Logistics Training Package Companion Volume Implementation Guide.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9" w:name="O_1194848"/>
      <w:bookmarkEnd w:id="9"/>
      <w:r w:rsidRPr="005A51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>This unit replaces and is equivalent to TLIR4001 Monitor supplier performance.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10" w:name="O_1194855"/>
      <w:bookmarkEnd w:id="10"/>
      <w:r w:rsidRPr="005A511A">
        <w:t>Links</w:t>
      </w:r>
    </w:p>
    <w:p w:rsidR="00000000" w:rsidRPr="005A511A" w:rsidP="004C3BE9">
      <w:pPr>
        <w:pStyle w:val="BodyText"/>
      </w:pPr>
      <w:r w:rsidRPr="005A51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74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511A" w:rsidP="004C3BE9">
      <w:pPr>
        <w:pStyle w:val="BodyText"/>
        <w:sectPr w:rsidSect="005A51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511A" w:rsidP="005A511A">
      <w:pPr>
        <w:pStyle w:val="SuperHeading"/>
      </w:pPr>
      <w:r w:rsidRPr="005A511A">
        <w:t>Assessment Requirements for TLIR0003 Monitor supplier performance</w:t>
      </w:r>
    </w:p>
    <w:p w:rsidR="00000000" w:rsidRPr="005A511A" w:rsidP="005A511A">
      <w:pPr>
        <w:pStyle w:val="Heading1"/>
      </w:pPr>
      <w:bookmarkStart w:id="11" w:name="O_1194850"/>
      <w:bookmarkEnd w:id="11"/>
      <w:r w:rsidRPr="005A51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rPr>
                <w:rStyle w:val="SpecialBold"/>
              </w:rPr>
              <w:t xml:space="preserve">Release 1. </w:t>
            </w:r>
            <w:r w:rsidRPr="005A511A">
              <w:t>This is the first release of this unit of competency in the TLI Transport and Logistics Training Package.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12" w:name="O_1194851"/>
      <w:bookmarkEnd w:id="12"/>
      <w:r w:rsidRPr="005A511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Evidence required to demonstrate competence in this unit must be relevant to and satisfy all the requiremen</w:t>
            </w:r>
            <w:r w:rsidRPr="005A511A">
              <w:t>ts of the elements and performance criteria on at least one occasion and include:</w:t>
            </w:r>
          </w:p>
        </w:tc>
      </w:tr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ListBullet"/>
            </w:pPr>
            <w:r w:rsidRPr="005A511A">
              <w:t>addressing contract non-conformance</w:t>
            </w:r>
          </w:p>
          <w:p w:rsidR="00000000" w:rsidRPr="005A511A" w:rsidP="005A511A">
            <w:pPr>
              <w:pStyle w:val="ListBullet"/>
            </w:pPr>
            <w:r w:rsidRPr="005A511A">
              <w:t>administering supplier contract</w:t>
            </w:r>
          </w:p>
          <w:p w:rsidR="00000000" w:rsidRPr="005A511A" w:rsidP="005A511A">
            <w:pPr>
              <w:pStyle w:val="ListBullet"/>
            </w:pPr>
            <w:r w:rsidRPr="005A511A">
              <w:t>applying relevant legislation, contractual requirements and workplace procedures</w:t>
            </w:r>
          </w:p>
          <w:p w:rsidR="00000000" w:rsidRPr="005A511A" w:rsidP="005A511A">
            <w:pPr>
              <w:pStyle w:val="ListBullet"/>
            </w:pPr>
            <w:r w:rsidRPr="005A511A">
              <w:t>communicating and working effectively with others</w:t>
            </w:r>
          </w:p>
          <w:p w:rsidR="00000000" w:rsidRPr="005A511A" w:rsidP="005A511A">
            <w:pPr>
              <w:pStyle w:val="ListBullet"/>
            </w:pPr>
            <w:r w:rsidRPr="005A511A">
              <w:t>completing relevant documentation</w:t>
            </w:r>
          </w:p>
          <w:p w:rsidR="00000000" w:rsidRPr="005A511A" w:rsidP="005A511A">
            <w:pPr>
              <w:pStyle w:val="ListBullet"/>
            </w:pPr>
            <w:r w:rsidRPr="005A511A">
              <w:t>implementing corrective actions and follow-up as instructed by relevant personnel</w:t>
            </w:r>
          </w:p>
          <w:p w:rsidR="00000000" w:rsidRPr="005A511A" w:rsidP="005A511A">
            <w:pPr>
              <w:pStyle w:val="ListBullet"/>
            </w:pPr>
            <w:r w:rsidRPr="005A511A">
              <w:t>interpreting data and providing appropriate, timely information on supplier contractual pe</w:t>
            </w:r>
            <w:r w:rsidRPr="005A511A">
              <w:t>rformance outcomes to appropriate personnel</w:t>
            </w:r>
          </w:p>
          <w:p w:rsidR="00000000" w:rsidRPr="005A511A" w:rsidP="005A511A">
            <w:pPr>
              <w:pStyle w:val="ListBullet"/>
            </w:pPr>
            <w:r w:rsidRPr="005A511A">
              <w:t>modifying activities depending on impact of supplier contract non-compliance, operational contingencies, risk situations and environments as directed by relevant personnel</w:t>
            </w:r>
          </w:p>
          <w:p w:rsidR="00000000" w:rsidRPr="005A511A" w:rsidP="005A511A">
            <w:pPr>
              <w:pStyle w:val="ListBullet"/>
            </w:pPr>
            <w:r w:rsidRPr="005A511A">
              <w:t>monitoring and prioritising work activit</w:t>
            </w:r>
            <w:r w:rsidRPr="005A511A">
              <w:t>ies in terms of successfully completing the administration of supplier performance against listed contractual milestones and identified risks</w:t>
            </w:r>
          </w:p>
          <w:p w:rsidR="00000000" w:rsidRPr="005A511A" w:rsidP="005A511A">
            <w:pPr>
              <w:pStyle w:val="ListBullet"/>
            </w:pPr>
            <w:r w:rsidRPr="005A511A">
              <w:t>reading and accurately interpreting supplier contractual information</w:t>
            </w:r>
          </w:p>
          <w:p w:rsidR="00000000" w:rsidRPr="005A511A" w:rsidP="005A511A">
            <w:pPr>
              <w:pStyle w:val="ListBullet"/>
            </w:pPr>
            <w:r w:rsidRPr="005A511A">
              <w:t>reporting or rectifying identified problems p</w:t>
            </w:r>
            <w:r w:rsidRPr="005A511A">
              <w:t>romptly and within scope of authority</w:t>
            </w:r>
          </w:p>
          <w:p w:rsidR="00000000" w:rsidRPr="005A511A" w:rsidP="005A511A">
            <w:pPr>
              <w:pStyle w:val="ListBullet"/>
            </w:pPr>
            <w:r w:rsidRPr="005A511A">
              <w:t>reviewing performance against previous supplier contracts</w:t>
            </w:r>
          </w:p>
          <w:p w:rsidR="00000000" w:rsidRPr="005A511A" w:rsidP="005A511A">
            <w:pPr>
              <w:pStyle w:val="ListBullet"/>
            </w:pPr>
            <w:r w:rsidRPr="005A511A">
              <w:t>selecting and appropriately applying technology, information systems and procedures</w:t>
            </w:r>
          </w:p>
          <w:p w:rsidR="00000000" w:rsidRPr="005A511A" w:rsidP="005A511A">
            <w:pPr>
              <w:pStyle w:val="ListBullet"/>
            </w:pPr>
            <w:r w:rsidRPr="005A511A">
              <w:t>supporting with the resolution of disputes, as required</w:t>
            </w:r>
          </w:p>
          <w:p w:rsidR="00000000" w:rsidRPr="005A511A" w:rsidP="005A511A">
            <w:pPr>
              <w:pStyle w:val="ListBullet"/>
            </w:pPr>
            <w:r w:rsidRPr="005A511A">
              <w:t>working systematical</w:t>
            </w:r>
            <w:r w:rsidRPr="005A511A">
              <w:t>ly with required attention to detail and within agreed timelines.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13" w:name="O_1194852"/>
      <w:bookmarkEnd w:id="13"/>
      <w:r w:rsidRPr="005A511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11A">
            <w:pPr>
              <w:pStyle w:val="BodyText"/>
              <w:rPr>
                <w:lang w:val="en-NZ"/>
              </w:rPr>
            </w:pPr>
            <w:r w:rsidRPr="005A511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ListBullet"/>
            </w:pPr>
            <w:r w:rsidRPr="005A511A">
              <w:t>importance of contractual analysis, identification of contractual risks and c</w:t>
            </w:r>
            <w:r w:rsidRPr="005A511A">
              <w:t>ontract milestones</w:t>
            </w:r>
          </w:p>
          <w:p w:rsidR="00000000" w:rsidRPr="005A511A" w:rsidP="005A511A">
            <w:pPr>
              <w:pStyle w:val="ListBullet"/>
            </w:pPr>
            <w:r w:rsidRPr="005A511A">
              <w:t>relevance of operational procedures and statistical analysis systems for recording, reporting and monitoring of supplier performance</w:t>
            </w:r>
          </w:p>
          <w:p w:rsidR="00000000" w:rsidRPr="005A511A" w:rsidP="005A511A">
            <w:pPr>
              <w:pStyle w:val="ListBullet"/>
            </w:pPr>
            <w:r w:rsidRPr="005A511A">
              <w:t>relevant legislation and code requirements associated with the monitoring of supplier contracts</w:t>
            </w:r>
          </w:p>
          <w:p w:rsidR="00000000" w:rsidRPr="005A511A" w:rsidP="005A511A">
            <w:pPr>
              <w:pStyle w:val="ListBullet"/>
            </w:pPr>
            <w:r w:rsidRPr="005A511A">
              <w:t>typical problems that can occur with supply contracts and related appropriate actions that can be taken</w:t>
            </w:r>
          </w:p>
          <w:p w:rsidR="00000000" w:rsidRPr="005A511A" w:rsidP="005A511A">
            <w:pPr>
              <w:pStyle w:val="ListBullet"/>
            </w:pPr>
            <w:r w:rsidRPr="005A511A">
              <w:t>workplace contract expectations, including but not limited to, disputation policies and procedures</w:t>
            </w:r>
          </w:p>
          <w:p w:rsidR="00000000" w:rsidRPr="005A511A" w:rsidP="005A511A">
            <w:pPr>
              <w:pStyle w:val="ListBullet"/>
            </w:pPr>
            <w:r w:rsidRPr="005A511A">
              <w:t>workplace policies and plans as they relate to supply</w:t>
            </w:r>
            <w:r w:rsidRPr="005A511A">
              <w:t xml:space="preserve"> contracts, including procedures for maintaining confidentiality</w:t>
            </w:r>
          </w:p>
          <w:p w:rsidR="00000000" w:rsidRPr="005A511A" w:rsidP="005A511A">
            <w:pPr>
              <w:pStyle w:val="ListBullet"/>
            </w:pPr>
            <w:r w:rsidRPr="005A511A">
              <w:t>workplace protocols and procedures for monitoring a supplier</w:t>
            </w:r>
            <w:r>
              <w:t>’</w:t>
            </w:r>
            <w:r w:rsidRPr="005A511A">
              <w:t>s performance against a contract.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14" w:name="O_1194853"/>
      <w:bookmarkEnd w:id="14"/>
      <w:r w:rsidRPr="005A511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11A" w:rsidP="005A511A">
            <w:pPr>
              <w:pStyle w:val="BodyText"/>
            </w:pPr>
            <w:r w:rsidRPr="005A511A">
              <w:t xml:space="preserve">Assessors must hold credentials specified within the Standards for Registered Training Organisations current at the time of assessment. </w:t>
            </w:r>
          </w:p>
          <w:p w:rsidR="00000000" w:rsidRPr="005A511A" w:rsidP="005A511A">
            <w:pPr>
              <w:pStyle w:val="BodyText"/>
            </w:pPr>
            <w:r w:rsidRPr="005A511A">
              <w:t xml:space="preserve">Assessment must satisfy the Principles of </w:t>
            </w:r>
            <w:r w:rsidRPr="005A511A">
              <w:t>Assessment and Rules of Evidence and all regulatory requirements included within the Standards for Registered Training Organisations current at the time of assessment.</w:t>
            </w:r>
          </w:p>
          <w:p w:rsidR="00000000" w:rsidRPr="005A511A" w:rsidP="005A511A">
            <w:pPr>
              <w:pStyle w:val="BodyText"/>
            </w:pPr>
            <w:r w:rsidRPr="005A511A">
              <w:t xml:space="preserve">Assessment must occur in workplace operational situations where it is appropriate to do </w:t>
            </w:r>
            <w:r w:rsidRPr="005A511A">
              <w:t>so; where this is not appropriate, assessment must occur in simulated workplace operational situations that replicate workplace conditions.</w:t>
            </w:r>
          </w:p>
          <w:p w:rsidR="00000000" w:rsidRPr="005A511A" w:rsidP="005A511A">
            <w:pPr>
              <w:pStyle w:val="BodyText"/>
            </w:pPr>
            <w:r w:rsidRPr="005A511A">
              <w:t>Assessment processes and techniques must be appropriate to the language, literacy and numeracy requirements of the w</w:t>
            </w:r>
            <w:r w:rsidRPr="005A511A">
              <w:t>ork being performed and the needs of the candidate.</w:t>
            </w:r>
          </w:p>
          <w:p w:rsidR="00000000" w:rsidRPr="005A511A" w:rsidP="005A511A">
            <w:pPr>
              <w:pStyle w:val="BodyText"/>
            </w:pPr>
            <w:r w:rsidRPr="005A511A">
              <w:t>Resources for assessment must include access to:</w:t>
            </w:r>
          </w:p>
          <w:p w:rsidR="00000000" w:rsidRPr="005A511A" w:rsidP="005A511A">
            <w:pPr>
              <w:pStyle w:val="ListBullet"/>
            </w:pPr>
            <w:r w:rsidRPr="005A511A">
              <w:t>a range of relevant exercises, case studies and/or simulations</w:t>
            </w:r>
          </w:p>
          <w:p w:rsidR="00000000" w:rsidRPr="005A511A" w:rsidP="005A511A">
            <w:pPr>
              <w:pStyle w:val="ListBullet"/>
            </w:pPr>
            <w:r w:rsidRPr="005A511A">
              <w:t>relevant and appropriate materials, tools, equipment and personal protective equipment (PPE</w:t>
            </w:r>
            <w:r w:rsidRPr="005A511A">
              <w:t>) currently used in industry</w:t>
            </w:r>
          </w:p>
          <w:p w:rsidR="00000000" w:rsidRPr="005A511A" w:rsidP="005A511A">
            <w:pPr>
              <w:pStyle w:val="ListBullet"/>
            </w:pPr>
            <w:r w:rsidRPr="005A511A">
              <w:t>applicable documentation, including legislation, regulations, codes of practice, workplace procedures and operation manuals.</w:t>
            </w:r>
          </w:p>
        </w:tc>
      </w:tr>
    </w:tbl>
    <w:p w:rsidR="004C3BE9" w:rsidP="005A511A">
      <w:pPr>
        <w:pStyle w:val="NoPaddingFontSize1"/>
      </w:pPr>
    </w:p>
    <w:p w:rsidR="004C3BE9" w:rsidP="005A511A">
      <w:pPr>
        <w:pStyle w:val="NoPaddingFontSize1"/>
      </w:pPr>
    </w:p>
    <w:p w:rsidR="00000000" w:rsidRPr="005A511A" w:rsidP="005A511A">
      <w:pPr>
        <w:pStyle w:val="Heading1"/>
      </w:pPr>
      <w:bookmarkStart w:id="15" w:name="O_1194856"/>
      <w:bookmarkEnd w:id="15"/>
      <w:r w:rsidRPr="005A511A">
        <w:t>Links</w:t>
      </w:r>
    </w:p>
    <w:p w:rsidR="00000000" w:rsidRPr="005A511A" w:rsidP="004C3BE9">
      <w:pPr>
        <w:pStyle w:val="BodyText"/>
      </w:pPr>
      <w:r w:rsidRPr="005A51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742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511A" w:rsidP="005A511A"/>
    <w:sectPr w:rsidSect="005A51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1A" w:rsidRPr="004C3BE9" w:rsidP="004C3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9" w:rsidP="005A5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BE9" w:rsidP="005A5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C3BE9" w:rsidP="005A51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1A" w:rsidP="005A5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3BE9">
      <w:t>Approved</w:t>
    </w:r>
    <w:r w:rsidR="004C3B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3B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3BE9">
      <w:rPr>
        <w:noProof/>
      </w:rPr>
      <w:t>4</w:t>
    </w:r>
    <w:r>
      <w:rPr>
        <w:noProof/>
      </w:rPr>
      <w:fldChar w:fldCharType="end"/>
    </w:r>
  </w:p>
  <w:p w:rsidR="005A511A" w:rsidP="005A5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3B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3BE9">
      <w:t>Industry Skills Australia</w:t>
    </w:r>
    <w:r w:rsidR="004C3BE9">
      <w:fldChar w:fldCharType="end"/>
    </w:r>
  </w:p>
  <w:p w:rsidR="005A511A" w:rsidP="005A5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11A" w:rsidRPr="004C3BE9" w:rsidP="004C3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9" w:rsidRPr="002D2AF8" w:rsidP="005A5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TLIR0003 Monitor supplier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3BE9" w:rsidP="005A51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1A" w:rsidRPr="002D2AF8" w:rsidP="005A5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3BE9">
      <w:t>TLIR0003 Monitor supplier performance</w:t>
    </w:r>
    <w:r w:rsidR="004C3B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3BE9">
      <w:rPr>
        <w:noProof/>
      </w:rPr>
      <w:t>2 March 2025</w:t>
    </w:r>
    <w:r>
      <w:fldChar w:fldCharType="end"/>
    </w:r>
  </w:p>
  <w:p w:rsidR="005A511A" w:rsidP="005A5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E63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381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11A"/>
  </w:style>
  <w:style w:type="character" w:customStyle="1" w:styleId="Heading1Char">
    <w:name w:val="Heading 1 Char"/>
    <w:basedOn w:val="DefaultParagraphFont"/>
    <w:link w:val="Heading1"/>
    <w:rsid w:val="005A5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1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11A"/>
    <w:rPr>
      <w:b/>
      <w:spacing w:val="0"/>
    </w:rPr>
  </w:style>
  <w:style w:type="paragraph" w:customStyle="1" w:styleId="SuperHeading">
    <w:name w:val="SuperHeading"/>
    <w:basedOn w:val="Normal"/>
    <w:rsid w:val="005A5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5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1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11A"/>
    <w:rPr>
      <w:i/>
    </w:rPr>
  </w:style>
  <w:style w:type="paragraph" w:styleId="Caption">
    <w:name w:val="caption"/>
    <w:basedOn w:val="BodyText"/>
    <w:next w:val="Normal"/>
    <w:qFormat/>
    <w:rsid w:val="005A5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11A"/>
  </w:style>
  <w:style w:type="paragraph" w:styleId="TableofFigures">
    <w:name w:val="table of figures"/>
    <w:basedOn w:val="Normal"/>
    <w:next w:val="Normal"/>
    <w:semiHidden/>
    <w:rsid w:val="005A5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1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511A"/>
    <w:rPr>
      <w:rFonts w:ascii="Wingdings" w:hAnsi="Wingdings"/>
    </w:rPr>
  </w:style>
  <w:style w:type="paragraph" w:customStyle="1" w:styleId="TableHeading">
    <w:name w:val="Table Heading"/>
    <w:basedOn w:val="HeadingBase"/>
    <w:rsid w:val="005A5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11A"/>
    <w:rPr>
      <w:color w:val="0033CC"/>
      <w:u w:val="none"/>
    </w:rPr>
  </w:style>
  <w:style w:type="paragraph" w:customStyle="1" w:styleId="BodyTextRight">
    <w:name w:val="Body Text Right"/>
    <w:basedOn w:val="BodyText"/>
    <w:rsid w:val="005A5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1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11A"/>
    <w:rPr>
      <w:sz w:val="32"/>
    </w:rPr>
  </w:style>
  <w:style w:type="paragraph" w:customStyle="1" w:styleId="HeadingProcedure">
    <w:name w:val="Heading Procedure"/>
    <w:basedOn w:val="HeadingBase"/>
    <w:next w:val="Normal"/>
    <w:rsid w:val="005A5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11A"/>
    <w:pPr>
      <w:spacing w:before="60" w:after="60"/>
    </w:pPr>
  </w:style>
  <w:style w:type="paragraph" w:styleId="ListContinue">
    <w:name w:val="List Continue"/>
    <w:basedOn w:val="List"/>
    <w:rsid w:val="005A511A"/>
    <w:pPr>
      <w:ind w:firstLine="0"/>
    </w:pPr>
  </w:style>
  <w:style w:type="paragraph" w:customStyle="1" w:styleId="ListNote">
    <w:name w:val="List Note"/>
    <w:basedOn w:val="List"/>
    <w:rsid w:val="005A5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11A"/>
    <w:rPr>
      <w:rFonts w:ascii="Courier New" w:hAnsi="Courier New"/>
    </w:rPr>
  </w:style>
  <w:style w:type="paragraph" w:customStyle="1" w:styleId="NoteBullet">
    <w:name w:val="Note Bullet"/>
    <w:basedOn w:val="Note"/>
    <w:rsid w:val="005A5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1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11A"/>
    <w:rPr>
      <w:b/>
      <w:smallCaps/>
    </w:rPr>
  </w:style>
  <w:style w:type="paragraph" w:customStyle="1" w:styleId="TableListNumber">
    <w:name w:val="Table List Number"/>
    <w:basedOn w:val="ListNumber"/>
    <w:rsid w:val="005A5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11A"/>
    <w:pPr>
      <w:numPr>
        <w:numId w:val="8"/>
      </w:numPr>
    </w:pPr>
  </w:style>
  <w:style w:type="paragraph" w:customStyle="1" w:styleId="ListAlpha2">
    <w:name w:val="List Alpha 2"/>
    <w:basedOn w:val="List2"/>
    <w:rsid w:val="005A511A"/>
    <w:pPr>
      <w:numPr>
        <w:numId w:val="7"/>
      </w:numPr>
    </w:pPr>
  </w:style>
  <w:style w:type="paragraph" w:styleId="List2">
    <w:name w:val="List 2"/>
    <w:basedOn w:val="BodyText"/>
    <w:rsid w:val="005A5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1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1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511A"/>
    <w:pPr>
      <w:numPr>
        <w:numId w:val="3"/>
      </w:numPr>
    </w:pPr>
  </w:style>
  <w:style w:type="paragraph" w:styleId="ListContinue2">
    <w:name w:val="List Continue 2"/>
    <w:basedOn w:val="List2"/>
    <w:rsid w:val="005A511A"/>
    <w:pPr>
      <w:ind w:firstLine="0"/>
    </w:pPr>
  </w:style>
  <w:style w:type="paragraph" w:styleId="ListContinue3">
    <w:name w:val="List Continue 3"/>
    <w:basedOn w:val="List3"/>
    <w:rsid w:val="005A511A"/>
    <w:pPr>
      <w:ind w:left="1021" w:firstLine="0"/>
    </w:pPr>
  </w:style>
  <w:style w:type="paragraph" w:styleId="ListContinue4">
    <w:name w:val="List Continue 4"/>
    <w:basedOn w:val="List4"/>
    <w:rsid w:val="005A511A"/>
    <w:pPr>
      <w:ind w:firstLine="0"/>
    </w:pPr>
  </w:style>
  <w:style w:type="paragraph" w:styleId="ListContinue5">
    <w:name w:val="List Continue 5"/>
    <w:basedOn w:val="List5"/>
    <w:rsid w:val="005A511A"/>
    <w:pPr>
      <w:ind w:firstLine="0"/>
    </w:pPr>
  </w:style>
  <w:style w:type="paragraph" w:styleId="ListNumber3">
    <w:name w:val="List Number 3"/>
    <w:basedOn w:val="List3"/>
    <w:rsid w:val="005A511A"/>
    <w:pPr>
      <w:numPr>
        <w:numId w:val="4"/>
      </w:numPr>
    </w:pPr>
  </w:style>
  <w:style w:type="paragraph" w:styleId="ListNumber4">
    <w:name w:val="List Number 4"/>
    <w:basedOn w:val="List4"/>
    <w:rsid w:val="005A511A"/>
    <w:pPr>
      <w:numPr>
        <w:numId w:val="5"/>
      </w:numPr>
    </w:pPr>
  </w:style>
  <w:style w:type="paragraph" w:styleId="ListNumber5">
    <w:name w:val="List Number 5"/>
    <w:basedOn w:val="List5"/>
    <w:rsid w:val="005A511A"/>
    <w:pPr>
      <w:numPr>
        <w:numId w:val="6"/>
      </w:numPr>
    </w:pPr>
  </w:style>
  <w:style w:type="paragraph" w:styleId="BlockText">
    <w:name w:val="Block Text"/>
    <w:basedOn w:val="Normal"/>
    <w:rsid w:val="005A5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11A"/>
    <w:rPr>
      <w:sz w:val="16"/>
      <w:vertAlign w:val="superscript"/>
    </w:rPr>
  </w:style>
  <w:style w:type="character" w:customStyle="1" w:styleId="Symbols">
    <w:name w:val="Symbols"/>
    <w:basedOn w:val="DefaultParagraphFont"/>
    <w:rsid w:val="005A511A"/>
    <w:rPr>
      <w:rFonts w:ascii="Symbol" w:hAnsi="Symbol"/>
    </w:rPr>
  </w:style>
  <w:style w:type="character" w:customStyle="1" w:styleId="MenuOptions">
    <w:name w:val="Menu Options"/>
    <w:basedOn w:val="DefaultParagraphFont"/>
    <w:rsid w:val="005A5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11A"/>
    <w:rPr>
      <w:b/>
    </w:rPr>
  </w:style>
  <w:style w:type="character" w:customStyle="1" w:styleId="Underlined">
    <w:name w:val="Underlined"/>
    <w:basedOn w:val="DefaultParagraphFont"/>
    <w:rsid w:val="005A511A"/>
    <w:rPr>
      <w:u w:val="single"/>
    </w:rPr>
  </w:style>
  <w:style w:type="paragraph" w:customStyle="1" w:styleId="TableBodyTextRight">
    <w:name w:val="Table Body Text Right"/>
    <w:basedOn w:val="TableBodyText"/>
    <w:rsid w:val="005A5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11A"/>
    <w:rPr>
      <w:sz w:val="18"/>
    </w:rPr>
  </w:style>
  <w:style w:type="paragraph" w:customStyle="1" w:styleId="BodySmallRight">
    <w:name w:val="Body Small Right"/>
    <w:basedOn w:val="BodyTextRight"/>
    <w:rsid w:val="005A511A"/>
    <w:rPr>
      <w:sz w:val="18"/>
      <w:szCs w:val="18"/>
    </w:rPr>
  </w:style>
  <w:style w:type="paragraph" w:customStyle="1" w:styleId="MarginEdition">
    <w:name w:val="Margin Edition"/>
    <w:basedOn w:val="MarginNote"/>
    <w:rsid w:val="005A5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11A"/>
    <w:rPr>
      <w:sz w:val="2"/>
      <w:szCs w:val="2"/>
    </w:rPr>
  </w:style>
  <w:style w:type="character" w:customStyle="1" w:styleId="Small">
    <w:name w:val="Small"/>
    <w:basedOn w:val="DefaultParagraphFont"/>
    <w:rsid w:val="005A511A"/>
    <w:rPr>
      <w:sz w:val="16"/>
    </w:rPr>
  </w:style>
  <w:style w:type="paragraph" w:customStyle="1" w:styleId="WideTable">
    <w:name w:val="Wide Table"/>
    <w:basedOn w:val="Normal"/>
    <w:rsid w:val="005A5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11A"/>
  </w:style>
  <w:style w:type="paragraph" w:styleId="Quote">
    <w:name w:val="Quote"/>
    <w:basedOn w:val="Heading1"/>
    <w:link w:val="QuoteChar"/>
    <w:qFormat/>
    <w:rsid w:val="005A5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11A"/>
    <w:pPr>
      <w:pageBreakBefore/>
    </w:pPr>
  </w:style>
  <w:style w:type="paragraph" w:customStyle="1" w:styleId="Border">
    <w:name w:val="Border"/>
    <w:basedOn w:val="Normal"/>
    <w:qFormat/>
    <w:rsid w:val="005A5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11A"/>
    <w:rPr>
      <w:u w:val="single"/>
    </w:rPr>
  </w:style>
  <w:style w:type="character" w:customStyle="1" w:styleId="BoldandItalics">
    <w:name w:val="Bold and Italics"/>
    <w:qFormat/>
    <w:rsid w:val="005A511A"/>
    <w:rPr>
      <w:b/>
      <w:i/>
      <w:u w:val="none"/>
    </w:rPr>
  </w:style>
  <w:style w:type="paragraph" w:styleId="BalloonText">
    <w:name w:val="Balloon Text"/>
    <w:basedOn w:val="Normal"/>
    <w:link w:val="BalloonTextChar"/>
    <w:rsid w:val="005A5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11A"/>
    <w:pPr>
      <w:spacing w:before="0" w:after="0"/>
    </w:pPr>
  </w:style>
  <w:style w:type="paragraph" w:customStyle="1" w:styleId="BodyTextBold">
    <w:name w:val="Body Text Bold"/>
    <w:basedOn w:val="BodyText"/>
    <w:qFormat/>
    <w:rsid w:val="005A511A"/>
    <w:rPr>
      <w:b/>
    </w:rPr>
  </w:style>
  <w:style w:type="character" w:styleId="Hyperlink">
    <w:name w:val="Hyperlink"/>
    <w:basedOn w:val="DefaultParagraphFont"/>
    <w:uiPriority w:val="99"/>
    <w:unhideWhenUsed/>
    <w:rsid w:val="004C3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6536</Characters>
  <Application>Microsoft Office Word</Application>
  <DocSecurity>0</DocSecurity>
  <Lines>217</Lines>
  <Paragraphs>120</Paragraphs>
  <ScaleCrop>false</ScaleCrop>
  <Company>Author-it Software Corporation Ltd.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TLIR0003 Monitor supplier performance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