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B1E" w:rsidP="00221B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TLIPC0005 Demonstrate safe practices at work</w:t>
      </w:r>
      <w:r>
        <w:fldChar w:fldCharType="end"/>
      </w:r>
    </w:p>
    <w:p w:rsidR="00221B1E" w:rsidP="00221B1E">
      <w:pPr>
        <w:pStyle w:val="Version"/>
        <w:sectPr w:rsidSect="00FA2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960" w:rsidP="00FA2960">
      <w:pPr>
        <w:pStyle w:val="SuperHeading"/>
      </w:pPr>
      <w:r w:rsidRPr="00FA2960">
        <w:t>TLIPC0005 Demonstrate safe practices at work</w:t>
      </w:r>
    </w:p>
    <w:p w:rsidR="00000000" w:rsidRPr="00FA2960" w:rsidP="00FA2960">
      <w:pPr>
        <w:pStyle w:val="Heading1"/>
      </w:pPr>
      <w:bookmarkStart w:id="1" w:name="O_1194669"/>
      <w:bookmarkEnd w:id="1"/>
      <w:r w:rsidRPr="00FA29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 w:rsidP="00FA2960">
            <w:pPr>
              <w:pStyle w:val="BodyText"/>
            </w:pPr>
            <w:r w:rsidRPr="00FA2960">
              <w:rPr>
                <w:rStyle w:val="SpecialBold"/>
              </w:rPr>
              <w:t>Release 1.</w:t>
            </w:r>
            <w:r w:rsidRPr="00FA2960">
              <w:t xml:space="preserve"> This is the first release of this unit of competency in the TLI Transport and Logistics Training Package.</w:t>
            </w:r>
          </w:p>
        </w:tc>
      </w:tr>
    </w:tbl>
    <w:p w:rsidR="00221B1E" w:rsidP="00FA2960">
      <w:pPr>
        <w:pStyle w:val="NoPaddingFontSize1"/>
      </w:pPr>
    </w:p>
    <w:p w:rsidR="00221B1E" w:rsidP="00FA2960">
      <w:pPr>
        <w:pStyle w:val="NoPaddingFontSize1"/>
      </w:pPr>
    </w:p>
    <w:p w:rsidR="00000000" w:rsidRPr="00FA2960" w:rsidP="00FA2960">
      <w:pPr>
        <w:pStyle w:val="Heading1"/>
      </w:pPr>
      <w:bookmarkStart w:id="2" w:name="O_1194670"/>
      <w:bookmarkEnd w:id="2"/>
      <w:r w:rsidRPr="00FA296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 w:rsidP="00FA2960">
            <w:pPr>
              <w:pStyle w:val="BodyText"/>
            </w:pPr>
            <w:r w:rsidRPr="00FA2960">
              <w:t>This unit covers the skills and knowledge required to demonstrate safe prac</w:t>
            </w:r>
            <w:r w:rsidRPr="00FA2960">
              <w:t>tices at work.</w:t>
            </w:r>
          </w:p>
          <w:p w:rsidR="00000000" w:rsidRPr="00FA2960" w:rsidP="00FA2960">
            <w:pPr>
              <w:pStyle w:val="BodyText"/>
            </w:pPr>
            <w:r w:rsidRPr="00FA2960">
              <w:t xml:space="preserve">It includes following work health and safety (WHS)/occupational health and safety (OHS) procedures, maintaining personal wellbeing, reporting on safety of self and others and dealing with emergency situations. </w:t>
            </w:r>
          </w:p>
          <w:p w:rsidR="00000000" w:rsidRPr="00FA2960" w:rsidP="00FA2960">
            <w:pPr>
              <w:pStyle w:val="BodyText"/>
            </w:pPr>
            <w:r w:rsidRPr="00FA2960">
              <w:t>This unit is designed for entr</w:t>
            </w:r>
            <w:r w:rsidRPr="00FA2960">
              <w:t xml:space="preserve">y-level workers or students interested in a supply chain career. </w:t>
            </w:r>
          </w:p>
          <w:p w:rsidR="00000000" w:rsidRPr="00FA2960" w:rsidP="00FA2960">
            <w:pPr>
              <w:pStyle w:val="BodyText"/>
            </w:pPr>
            <w:r w:rsidRPr="00FA2960">
              <w:t>No licensing, legislative or certification requirements apply to this unit at the time of publication.</w:t>
            </w:r>
          </w:p>
        </w:tc>
      </w:tr>
    </w:tbl>
    <w:p w:rsidR="00221B1E" w:rsidP="00FA2960">
      <w:pPr>
        <w:pStyle w:val="NoPaddingFontSize1"/>
      </w:pPr>
    </w:p>
    <w:p w:rsidR="00221B1E" w:rsidP="00FA2960">
      <w:pPr>
        <w:pStyle w:val="NoPaddingFontSize1"/>
      </w:pPr>
    </w:p>
    <w:p w:rsidR="00000000" w:rsidRPr="00FA2960" w:rsidP="00FA2960">
      <w:pPr>
        <w:pStyle w:val="Heading1"/>
      </w:pPr>
      <w:bookmarkStart w:id="3" w:name="O_1194671"/>
      <w:bookmarkEnd w:id="3"/>
      <w:r w:rsidRPr="00FA296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 w:rsidP="00FA2960">
            <w:pPr>
              <w:pStyle w:val="BodyText"/>
            </w:pPr>
            <w:r w:rsidRPr="00FA2960">
              <w:t>Not applicable.</w:t>
            </w:r>
          </w:p>
        </w:tc>
      </w:tr>
    </w:tbl>
    <w:p w:rsidR="00221B1E" w:rsidP="00FA2960">
      <w:pPr>
        <w:pStyle w:val="NoPaddingFontSize1"/>
      </w:pPr>
    </w:p>
    <w:p w:rsidR="00221B1E" w:rsidP="00FA2960">
      <w:pPr>
        <w:pStyle w:val="NoPaddingFontSize1"/>
      </w:pPr>
    </w:p>
    <w:p w:rsidR="00000000" w:rsidRPr="00FA2960" w:rsidP="00FA2960">
      <w:pPr>
        <w:pStyle w:val="Heading1"/>
      </w:pPr>
      <w:bookmarkStart w:id="4" w:name="O_1194672"/>
      <w:bookmarkEnd w:id="4"/>
      <w:r w:rsidRPr="00FA2960">
        <w:t>Competen</w:t>
      </w:r>
      <w:r w:rsidRPr="00FA2960">
        <w:t>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 w:rsidP="00FA2960">
            <w:pPr>
              <w:pStyle w:val="BodyText"/>
            </w:pPr>
            <w:r w:rsidRPr="00FA2960">
              <w:t>PC ‒ Pathways Certificate</w:t>
            </w:r>
          </w:p>
        </w:tc>
      </w:tr>
    </w:tbl>
    <w:p w:rsidR="00221B1E" w:rsidP="00FA2960">
      <w:pPr>
        <w:pStyle w:val="NoPaddingFontSize1"/>
      </w:pPr>
    </w:p>
    <w:p w:rsidR="00221B1E" w:rsidP="00FA2960">
      <w:pPr>
        <w:pStyle w:val="NoPaddingFontSize1"/>
      </w:pPr>
    </w:p>
    <w:p w:rsidR="00000000" w:rsidRPr="00FA2960" w:rsidP="00FA2960">
      <w:pPr>
        <w:pStyle w:val="Heading1"/>
      </w:pPr>
      <w:bookmarkStart w:id="5" w:name="O_1194673"/>
      <w:bookmarkEnd w:id="5"/>
      <w:r w:rsidRPr="00FA296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 w:rsidP="00FA2960">
            <w:pPr>
              <w:pStyle w:val="BodyText"/>
            </w:pPr>
            <w:r w:rsidRPr="00FA2960">
              <w:t>Not applicable.</w:t>
            </w:r>
          </w:p>
        </w:tc>
      </w:tr>
    </w:tbl>
    <w:p w:rsidR="00221B1E" w:rsidP="00FA2960">
      <w:pPr>
        <w:pStyle w:val="NoPaddingFontSize1"/>
      </w:pPr>
    </w:p>
    <w:p w:rsidR="00221B1E" w:rsidP="00FA2960">
      <w:pPr>
        <w:pStyle w:val="NoPaddingFontSize1"/>
      </w:pPr>
    </w:p>
    <w:p w:rsidR="00000000" w:rsidRPr="00FA2960" w:rsidP="00FA2960">
      <w:pPr>
        <w:pStyle w:val="Heading1"/>
      </w:pPr>
      <w:bookmarkStart w:id="6" w:name="O_1194674"/>
      <w:bookmarkEnd w:id="6"/>
      <w:r w:rsidRPr="00FA296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7"/>
        <w:gridCol w:w="2463"/>
        <w:gridCol w:w="456"/>
        <w:gridCol w:w="5930"/>
      </w:tblGrid>
      <w:tr w:rsidTr="00221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 w:rsidP="00FA2960">
            <w:pPr>
              <w:pStyle w:val="BodyText"/>
            </w:pPr>
            <w:r w:rsidRPr="00FA296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rPr>
                <w:rStyle w:val="SpecialBold"/>
              </w:rPr>
              <w:t>PERFORMANCE CRITERIA</w:t>
            </w:r>
          </w:p>
        </w:tc>
      </w:tr>
      <w:tr w:rsidTr="00221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t>Performance criteria describe the performance needed to demonstrate achievement of the element.</w:t>
            </w:r>
          </w:p>
        </w:tc>
      </w:tr>
      <w:tr w:rsidTr="00221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 w:rsidP="00FA2960">
            <w:pPr>
              <w:pStyle w:val="BodyText"/>
            </w:pPr>
            <w:r w:rsidRPr="00FA296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 w:rsidP="00FA2960">
            <w:pPr>
              <w:pStyle w:val="BodyText"/>
            </w:pPr>
            <w:r w:rsidRPr="00FA2960">
              <w:rPr>
                <w:rStyle w:val="SpecialBold"/>
              </w:rPr>
              <w:t>Follow workplace WHS/OHS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t>Relevant WHS/OHS, workplace hazard, control procedures and safe work practices are identified and followed</w:t>
            </w:r>
          </w:p>
        </w:tc>
      </w:tr>
      <w:tr w:rsidTr="00221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t>Wo</w:t>
            </w:r>
            <w:r w:rsidRPr="00FA2960">
              <w:t>rkplace procedures for reporting hazards are identified and adhered to</w:t>
            </w:r>
          </w:p>
        </w:tc>
      </w:tr>
      <w:tr w:rsidTr="00221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t>All relevant work activities are undertaken in a safe manner according to WHS/OHS guidelines and workplace procedures</w:t>
            </w:r>
          </w:p>
        </w:tc>
      </w:tr>
      <w:tr w:rsidTr="00221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t>Work area is assessed regularly and procedures to report, remove or minimise potential hazards are followed</w:t>
            </w:r>
          </w:p>
        </w:tc>
      </w:tr>
      <w:tr w:rsidTr="00221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t>Personal protective equipment (PPE) is correctly used in accordance with safety and workplace procedures</w:t>
            </w:r>
          </w:p>
        </w:tc>
      </w:tr>
      <w:tr w:rsidTr="00221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 w:rsidP="00FA2960">
            <w:pPr>
              <w:pStyle w:val="BodyText"/>
            </w:pPr>
            <w:r w:rsidRPr="00FA296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 w:rsidP="00FA2960">
            <w:pPr>
              <w:pStyle w:val="BodyText"/>
            </w:pPr>
            <w:r w:rsidRPr="00FA2960">
              <w:rPr>
                <w:rStyle w:val="SpecialBold"/>
              </w:rPr>
              <w:t>Maintain personal wellbeing in th</w:t>
            </w:r>
            <w:r w:rsidRPr="00FA2960">
              <w:rPr>
                <w:rStyle w:val="SpecialBold"/>
              </w:rPr>
              <w:t>e workplace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t xml:space="preserve">Risks to personal wellbeing that may affect safe performance in the workplace are identified </w:t>
            </w:r>
          </w:p>
        </w:tc>
      </w:tr>
      <w:tr w:rsidTr="00221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t>Procedures for maintaining a tidy and clean personal work area are identified and followed</w:t>
            </w:r>
          </w:p>
        </w:tc>
      </w:tr>
      <w:tr w:rsidTr="00221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 w:rsidP="00FA2960">
            <w:pPr>
              <w:pStyle w:val="BodyText"/>
            </w:pPr>
            <w:r w:rsidRPr="00FA296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 w:rsidP="00FA2960">
            <w:pPr>
              <w:pStyle w:val="BodyText"/>
            </w:pPr>
            <w:r w:rsidRPr="00FA2960">
              <w:rPr>
                <w:rStyle w:val="SpecialBold"/>
              </w:rPr>
              <w:t>Respond to emergency situations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t>Emergency procedures are followed in accordance with organisational procedures</w:t>
            </w:r>
          </w:p>
        </w:tc>
      </w:tr>
      <w:tr w:rsidTr="00221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60">
            <w:pPr>
              <w:pStyle w:val="BodyText"/>
              <w:rPr>
                <w:lang w:val="en-NZ"/>
              </w:rPr>
            </w:pPr>
            <w:r w:rsidRPr="00FA2960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 w:rsidP="00FA2960">
            <w:pPr>
              <w:pStyle w:val="BodyText"/>
            </w:pPr>
            <w:r w:rsidRPr="00FA2960">
              <w:t>Assistance from colleagues and/or other authorities is sought where appropriate</w:t>
            </w:r>
          </w:p>
        </w:tc>
      </w:tr>
    </w:tbl>
    <w:p w:rsidR="00221B1E" w:rsidP="00FA2960">
      <w:pPr>
        <w:pStyle w:val="NoPaddingFontSize1"/>
      </w:pPr>
    </w:p>
    <w:p w:rsidR="00221B1E" w:rsidP="00FA2960">
      <w:pPr>
        <w:pStyle w:val="NoPaddingFontSize1"/>
      </w:pPr>
    </w:p>
    <w:p w:rsidR="00000000" w:rsidRPr="00FA2960" w:rsidP="00FA2960">
      <w:pPr>
        <w:pStyle w:val="Heading1"/>
      </w:pPr>
      <w:bookmarkStart w:id="7" w:name="O_1194675"/>
      <w:bookmarkEnd w:id="7"/>
      <w:r w:rsidRPr="00FA296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 w:rsidP="00FA2960">
            <w:pPr>
              <w:pStyle w:val="BodyText"/>
            </w:pPr>
            <w:r w:rsidRPr="00FA2960">
              <w:t>Foundation skills essential to perfor</w:t>
            </w:r>
            <w:r w:rsidRPr="00FA2960">
              <w:t>mance are explicit in the performance criteria of this unit of competency.</w:t>
            </w:r>
          </w:p>
        </w:tc>
      </w:tr>
    </w:tbl>
    <w:p w:rsidR="00221B1E" w:rsidP="00FA2960">
      <w:pPr>
        <w:pStyle w:val="NoPaddingFontSize1"/>
      </w:pPr>
    </w:p>
    <w:p w:rsidR="00221B1E" w:rsidP="00FA2960">
      <w:pPr>
        <w:pStyle w:val="NoPaddingFontSize1"/>
      </w:pPr>
    </w:p>
    <w:p w:rsidR="00000000" w:rsidRPr="00FA2960" w:rsidP="00FA2960">
      <w:pPr>
        <w:pStyle w:val="Heading1"/>
      </w:pPr>
      <w:bookmarkStart w:id="8" w:name="O_1194676"/>
      <w:bookmarkEnd w:id="8"/>
      <w:r w:rsidRPr="00FA296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 w:rsidP="00FA2960">
            <w:pPr>
              <w:pStyle w:val="BodyText"/>
            </w:pPr>
            <w:r w:rsidRPr="00FA2960">
              <w:t>Range is restricted to essential operating conditions and any other variables essential to the work environment.</w:t>
            </w:r>
          </w:p>
          <w:p w:rsidR="00000000" w:rsidRPr="00FA2960" w:rsidP="00FA2960">
            <w:pPr>
              <w:pStyle w:val="BodyText"/>
            </w:pPr>
            <w:r w:rsidRPr="00FA2960">
              <w:t>Non-essential conditions c</w:t>
            </w:r>
            <w:r w:rsidRPr="00FA2960">
              <w:t>an be found in the TLI Transport and Logistics Training Package Companion Volume Implementation Guide.</w:t>
            </w:r>
          </w:p>
        </w:tc>
      </w:tr>
    </w:tbl>
    <w:p w:rsidR="00221B1E" w:rsidP="00FA2960">
      <w:pPr>
        <w:pStyle w:val="NoPaddingFontSize1"/>
      </w:pPr>
    </w:p>
    <w:p w:rsidR="00221B1E" w:rsidP="00FA2960">
      <w:pPr>
        <w:pStyle w:val="NoPaddingFontSize1"/>
      </w:pPr>
    </w:p>
    <w:p w:rsidR="00000000" w:rsidRPr="00FA2960" w:rsidP="00FA2960">
      <w:pPr>
        <w:pStyle w:val="Heading1"/>
      </w:pPr>
      <w:bookmarkStart w:id="9" w:name="O_1194677"/>
      <w:bookmarkEnd w:id="9"/>
      <w:r w:rsidRPr="00FA296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60" w:rsidP="00FA2960">
            <w:pPr>
              <w:pStyle w:val="BodyText"/>
            </w:pPr>
            <w:r w:rsidRPr="00FA2960">
              <w:t>This unit replaces and is equivalent to TLIPC1001 Demonstrate care and apply safe practices at work.</w:t>
            </w:r>
          </w:p>
        </w:tc>
      </w:tr>
    </w:tbl>
    <w:p w:rsidR="00221B1E" w:rsidP="00FA2960">
      <w:pPr>
        <w:pStyle w:val="NoPaddingFontSize1"/>
      </w:pPr>
    </w:p>
    <w:p w:rsidR="00221B1E" w:rsidP="00FA2960">
      <w:pPr>
        <w:pStyle w:val="NoPaddingFontSize1"/>
      </w:pPr>
    </w:p>
    <w:p w:rsidR="00000000" w:rsidRPr="00FA2960" w:rsidP="00FA2960">
      <w:pPr>
        <w:pStyle w:val="Heading1"/>
      </w:pPr>
      <w:bookmarkStart w:id="10" w:name="O_1194684"/>
      <w:bookmarkEnd w:id="10"/>
      <w:r w:rsidRPr="00FA2960">
        <w:t>Links</w:t>
      </w:r>
    </w:p>
    <w:p w:rsidR="00000000" w:rsidRPr="00FA2960" w:rsidP="00221B1E">
      <w:pPr>
        <w:pStyle w:val="BodyText"/>
      </w:pPr>
      <w:r w:rsidRPr="00FA29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E01B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A2960" w:rsidP="00FA2960"/>
    <w:sectPr w:rsidSect="00FA29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60" w:rsidRPr="00221B1E" w:rsidP="00221B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1E" w:rsidP="00FA2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1B1E" w:rsidP="00FA2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21B1E" w:rsidP="00FA2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960" w:rsidRPr="00221B1E" w:rsidP="00221B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1E" w:rsidRPr="002D2AF8" w:rsidP="00FA2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TLIPC0005 Demonstrate safe practices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21B1E" w:rsidP="00FA2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960"/>
  </w:style>
  <w:style w:type="character" w:customStyle="1" w:styleId="Heading1Char">
    <w:name w:val="Heading 1 Char"/>
    <w:basedOn w:val="DefaultParagraphFont"/>
    <w:link w:val="Heading1"/>
    <w:rsid w:val="00FA2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9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96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2960"/>
    <w:rPr>
      <w:b/>
      <w:spacing w:val="0"/>
    </w:rPr>
  </w:style>
  <w:style w:type="paragraph" w:customStyle="1" w:styleId="SuperHeading">
    <w:name w:val="SuperHeading"/>
    <w:basedOn w:val="Normal"/>
    <w:rsid w:val="00FA2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2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9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9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9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296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2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96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9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2960"/>
    <w:rPr>
      <w:i/>
    </w:rPr>
  </w:style>
  <w:style w:type="paragraph" w:styleId="Caption">
    <w:name w:val="caption"/>
    <w:basedOn w:val="BodyText"/>
    <w:next w:val="Normal"/>
    <w:qFormat/>
    <w:rsid w:val="00FA2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960"/>
  </w:style>
  <w:style w:type="paragraph" w:styleId="TableofFigures">
    <w:name w:val="table of figures"/>
    <w:basedOn w:val="Normal"/>
    <w:next w:val="Normal"/>
    <w:semiHidden/>
    <w:rsid w:val="00FA2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96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2960"/>
    <w:rPr>
      <w:rFonts w:ascii="Wingdings" w:hAnsi="Wingdings"/>
    </w:rPr>
  </w:style>
  <w:style w:type="paragraph" w:customStyle="1" w:styleId="TableHeading">
    <w:name w:val="Table Heading"/>
    <w:basedOn w:val="HeadingBase"/>
    <w:rsid w:val="00FA29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960"/>
    <w:rPr>
      <w:color w:val="0033CC"/>
      <w:u w:val="none"/>
    </w:rPr>
  </w:style>
  <w:style w:type="paragraph" w:customStyle="1" w:styleId="BodyTextRight">
    <w:name w:val="Body Text Right"/>
    <w:basedOn w:val="BodyText"/>
    <w:rsid w:val="00FA2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96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960"/>
    <w:rPr>
      <w:sz w:val="32"/>
    </w:rPr>
  </w:style>
  <w:style w:type="paragraph" w:customStyle="1" w:styleId="HeadingProcedure">
    <w:name w:val="Heading Procedure"/>
    <w:basedOn w:val="HeadingBase"/>
    <w:next w:val="Normal"/>
    <w:rsid w:val="00FA2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960"/>
    <w:pPr>
      <w:spacing w:before="60" w:after="60"/>
    </w:pPr>
  </w:style>
  <w:style w:type="paragraph" w:styleId="ListContinue">
    <w:name w:val="List Continue"/>
    <w:basedOn w:val="List"/>
    <w:rsid w:val="00FA2960"/>
    <w:pPr>
      <w:ind w:firstLine="0"/>
    </w:pPr>
  </w:style>
  <w:style w:type="paragraph" w:customStyle="1" w:styleId="ListNote">
    <w:name w:val="List Note"/>
    <w:basedOn w:val="List"/>
    <w:rsid w:val="00FA2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960"/>
    <w:rPr>
      <w:rFonts w:ascii="Courier New" w:hAnsi="Courier New"/>
    </w:rPr>
  </w:style>
  <w:style w:type="paragraph" w:customStyle="1" w:styleId="NoteBullet">
    <w:name w:val="Note Bullet"/>
    <w:basedOn w:val="Note"/>
    <w:rsid w:val="00FA2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96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2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960"/>
    <w:rPr>
      <w:b/>
      <w:smallCaps/>
    </w:rPr>
  </w:style>
  <w:style w:type="paragraph" w:customStyle="1" w:styleId="TableListNumber">
    <w:name w:val="Table List Number"/>
    <w:basedOn w:val="ListNumber"/>
    <w:rsid w:val="00FA2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960"/>
    <w:pPr>
      <w:numPr>
        <w:numId w:val="7"/>
      </w:numPr>
    </w:pPr>
  </w:style>
  <w:style w:type="paragraph" w:customStyle="1" w:styleId="ListAlpha2">
    <w:name w:val="List Alpha 2"/>
    <w:basedOn w:val="List2"/>
    <w:rsid w:val="00FA2960"/>
    <w:pPr>
      <w:numPr>
        <w:numId w:val="6"/>
      </w:numPr>
    </w:pPr>
  </w:style>
  <w:style w:type="paragraph" w:styleId="List2">
    <w:name w:val="List 2"/>
    <w:basedOn w:val="BodyText"/>
    <w:rsid w:val="00FA2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96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96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2960"/>
    <w:pPr>
      <w:numPr>
        <w:numId w:val="2"/>
      </w:numPr>
    </w:pPr>
  </w:style>
  <w:style w:type="paragraph" w:styleId="ListContinue2">
    <w:name w:val="List Continue 2"/>
    <w:basedOn w:val="List2"/>
    <w:rsid w:val="00FA2960"/>
    <w:pPr>
      <w:ind w:firstLine="0"/>
    </w:pPr>
  </w:style>
  <w:style w:type="paragraph" w:styleId="ListContinue3">
    <w:name w:val="List Continue 3"/>
    <w:basedOn w:val="List3"/>
    <w:rsid w:val="00FA2960"/>
    <w:pPr>
      <w:ind w:left="1021" w:firstLine="0"/>
    </w:pPr>
  </w:style>
  <w:style w:type="paragraph" w:styleId="ListContinue4">
    <w:name w:val="List Continue 4"/>
    <w:basedOn w:val="List4"/>
    <w:rsid w:val="00FA2960"/>
    <w:pPr>
      <w:ind w:firstLine="0"/>
    </w:pPr>
  </w:style>
  <w:style w:type="paragraph" w:styleId="ListContinue5">
    <w:name w:val="List Continue 5"/>
    <w:basedOn w:val="List5"/>
    <w:rsid w:val="00FA2960"/>
    <w:pPr>
      <w:ind w:firstLine="0"/>
    </w:pPr>
  </w:style>
  <w:style w:type="paragraph" w:styleId="ListNumber3">
    <w:name w:val="List Number 3"/>
    <w:basedOn w:val="List3"/>
    <w:rsid w:val="00FA2960"/>
    <w:pPr>
      <w:numPr>
        <w:numId w:val="3"/>
      </w:numPr>
    </w:pPr>
  </w:style>
  <w:style w:type="paragraph" w:styleId="ListNumber4">
    <w:name w:val="List Number 4"/>
    <w:basedOn w:val="List4"/>
    <w:rsid w:val="00FA2960"/>
    <w:pPr>
      <w:numPr>
        <w:numId w:val="4"/>
      </w:numPr>
    </w:pPr>
  </w:style>
  <w:style w:type="paragraph" w:styleId="ListNumber5">
    <w:name w:val="List Number 5"/>
    <w:basedOn w:val="List5"/>
    <w:rsid w:val="00FA2960"/>
    <w:pPr>
      <w:numPr>
        <w:numId w:val="5"/>
      </w:numPr>
    </w:pPr>
  </w:style>
  <w:style w:type="paragraph" w:styleId="BlockText">
    <w:name w:val="Block Text"/>
    <w:basedOn w:val="Normal"/>
    <w:rsid w:val="00FA2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960"/>
    <w:rPr>
      <w:sz w:val="16"/>
      <w:vertAlign w:val="superscript"/>
    </w:rPr>
  </w:style>
  <w:style w:type="character" w:customStyle="1" w:styleId="Symbols">
    <w:name w:val="Symbols"/>
    <w:basedOn w:val="DefaultParagraphFont"/>
    <w:rsid w:val="00FA2960"/>
    <w:rPr>
      <w:rFonts w:ascii="Symbol" w:hAnsi="Symbol"/>
    </w:rPr>
  </w:style>
  <w:style w:type="character" w:customStyle="1" w:styleId="MenuOptions">
    <w:name w:val="Menu Options"/>
    <w:basedOn w:val="DefaultParagraphFont"/>
    <w:rsid w:val="00FA2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960"/>
    <w:rPr>
      <w:b/>
    </w:rPr>
  </w:style>
  <w:style w:type="character" w:customStyle="1" w:styleId="Underlined">
    <w:name w:val="Underlined"/>
    <w:basedOn w:val="DefaultParagraphFont"/>
    <w:rsid w:val="00FA2960"/>
    <w:rPr>
      <w:u w:val="single"/>
    </w:rPr>
  </w:style>
  <w:style w:type="paragraph" w:customStyle="1" w:styleId="TableBodyTextRight">
    <w:name w:val="Table Body Text Right"/>
    <w:basedOn w:val="TableBodyText"/>
    <w:rsid w:val="00FA2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960"/>
    <w:rPr>
      <w:sz w:val="18"/>
    </w:rPr>
  </w:style>
  <w:style w:type="paragraph" w:customStyle="1" w:styleId="BodySmallRight">
    <w:name w:val="Body Small Right"/>
    <w:basedOn w:val="BodyTextRight"/>
    <w:rsid w:val="00FA2960"/>
    <w:rPr>
      <w:sz w:val="18"/>
      <w:szCs w:val="18"/>
    </w:rPr>
  </w:style>
  <w:style w:type="paragraph" w:customStyle="1" w:styleId="MarginEdition">
    <w:name w:val="Margin Edition"/>
    <w:basedOn w:val="MarginNote"/>
    <w:rsid w:val="00FA2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960"/>
    <w:rPr>
      <w:sz w:val="2"/>
      <w:szCs w:val="2"/>
    </w:rPr>
  </w:style>
  <w:style w:type="character" w:customStyle="1" w:styleId="Small">
    <w:name w:val="Small"/>
    <w:basedOn w:val="DefaultParagraphFont"/>
    <w:rsid w:val="00FA2960"/>
    <w:rPr>
      <w:sz w:val="16"/>
    </w:rPr>
  </w:style>
  <w:style w:type="paragraph" w:customStyle="1" w:styleId="WideTable">
    <w:name w:val="Wide Table"/>
    <w:basedOn w:val="Normal"/>
    <w:rsid w:val="00FA2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960"/>
  </w:style>
  <w:style w:type="paragraph" w:styleId="Quote">
    <w:name w:val="Quote"/>
    <w:basedOn w:val="Heading1"/>
    <w:link w:val="QuoteChar"/>
    <w:qFormat/>
    <w:rsid w:val="00FA2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960"/>
    <w:pPr>
      <w:pageBreakBefore/>
    </w:pPr>
  </w:style>
  <w:style w:type="paragraph" w:customStyle="1" w:styleId="Border">
    <w:name w:val="Border"/>
    <w:basedOn w:val="Normal"/>
    <w:qFormat/>
    <w:rsid w:val="00FA2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960"/>
    <w:rPr>
      <w:u w:val="single"/>
    </w:rPr>
  </w:style>
  <w:style w:type="character" w:customStyle="1" w:styleId="BoldandItalics">
    <w:name w:val="Bold and Italics"/>
    <w:qFormat/>
    <w:rsid w:val="00FA2960"/>
    <w:rPr>
      <w:b/>
      <w:i/>
      <w:u w:val="none"/>
    </w:rPr>
  </w:style>
  <w:style w:type="paragraph" w:styleId="BalloonText">
    <w:name w:val="Balloon Text"/>
    <w:basedOn w:val="Normal"/>
    <w:link w:val="BalloonTextChar"/>
    <w:rsid w:val="00FA2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9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9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960"/>
    <w:pPr>
      <w:spacing w:before="0" w:after="0"/>
    </w:pPr>
  </w:style>
  <w:style w:type="paragraph" w:customStyle="1" w:styleId="BodyTextBold">
    <w:name w:val="Body Text Bold"/>
    <w:basedOn w:val="BodyText"/>
    <w:qFormat/>
    <w:rsid w:val="00FA2960"/>
    <w:rPr>
      <w:b/>
    </w:rPr>
  </w:style>
  <w:style w:type="character" w:styleId="Hyperlink">
    <w:name w:val="Hyperlink"/>
    <w:basedOn w:val="DefaultParagraphFont"/>
    <w:uiPriority w:val="99"/>
    <w:unhideWhenUsed/>
    <w:rsid w:val="00221B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</Words>
  <Characters>2554</Characters>
  <Application>Microsoft Office Word</Application>
  <DocSecurity>0</DocSecurity>
  <Lines>121</Lines>
  <Paragraphs>67</Paragraphs>
  <ScaleCrop>false</ScaleCrop>
  <Company>Author-it Software Corporation Ltd.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TLIPC0005 Demonstrate safe practices at work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2024-07-12T07:47:00Z</dcterms:modified>
</cp:coreProperties>
</file>