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B13" w:rsidP="00C22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TLIPC0005 Demonstrate safe practices at work</w:t>
      </w:r>
      <w:r>
        <w:fldChar w:fldCharType="end"/>
      </w:r>
    </w:p>
    <w:p w:rsidR="00C22B13" w:rsidP="00C22B13">
      <w:pPr>
        <w:pStyle w:val="Version"/>
        <w:sectPr w:rsidSect="00A02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C81" w:rsidP="00A02C81">
      <w:pPr>
        <w:pStyle w:val="SuperHeading"/>
      </w:pPr>
      <w:r w:rsidRPr="00A02C81">
        <w:t>TLIPC0005 Demonstrate safe practices at work</w:t>
      </w:r>
    </w:p>
    <w:p w:rsidR="00000000" w:rsidRPr="00A02C81" w:rsidP="00A02C81">
      <w:pPr>
        <w:pStyle w:val="Heading1"/>
      </w:pPr>
      <w:bookmarkStart w:id="1" w:name="O_1194669"/>
      <w:bookmarkEnd w:id="1"/>
      <w:r w:rsidRPr="00A02C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rPr>
                <w:rStyle w:val="SpecialBold"/>
              </w:rPr>
              <w:t>Release 1.</w:t>
            </w:r>
            <w:r w:rsidRPr="00A02C81">
              <w:t xml:space="preserve"> This is the first release of this unit of competency in the TLI Transport and Logistics Training Package.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2" w:name="O_1194670"/>
      <w:bookmarkEnd w:id="2"/>
      <w:r w:rsidRPr="00A02C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t>This unit covers the skills and knowledge required to demonstrate safe prac</w:t>
            </w:r>
            <w:r w:rsidRPr="00A02C81">
              <w:t>tices at work.</w:t>
            </w:r>
          </w:p>
          <w:p w:rsidR="00000000" w:rsidRPr="00A02C81" w:rsidP="00A02C81">
            <w:pPr>
              <w:pStyle w:val="BodyText"/>
            </w:pPr>
            <w:r w:rsidRPr="00A02C81">
              <w:t xml:space="preserve">It includes following work health and safety (WHS)/occupational health and safety (OHS) procedures, maintaining personal wellbeing, reporting on safety of self and others and dealing with emergency situations. </w:t>
            </w:r>
          </w:p>
          <w:p w:rsidR="00000000" w:rsidRPr="00A02C81" w:rsidP="00A02C81">
            <w:pPr>
              <w:pStyle w:val="BodyText"/>
            </w:pPr>
            <w:r w:rsidRPr="00A02C81">
              <w:t>This unit is designed for entr</w:t>
            </w:r>
            <w:r w:rsidRPr="00A02C81">
              <w:t xml:space="preserve">y-level workers or students interested in a supply chain career. </w:t>
            </w:r>
          </w:p>
          <w:p w:rsidR="00000000" w:rsidRPr="00A02C81" w:rsidP="00A02C81">
            <w:pPr>
              <w:pStyle w:val="BodyText"/>
            </w:pPr>
            <w:r w:rsidRPr="00A02C81">
              <w:t>No licensing, legislative or certification requirements apply to this unit at the time of publication.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3" w:name="O_1194671"/>
      <w:bookmarkEnd w:id="3"/>
      <w:r w:rsidRPr="00A02C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t>Not applicable.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4" w:name="O_1194672"/>
      <w:bookmarkEnd w:id="4"/>
      <w:r w:rsidRPr="00A02C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t>PC ‒ Pathways Certificate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5" w:name="O_1194673"/>
      <w:bookmarkEnd w:id="5"/>
      <w:r w:rsidRPr="00A02C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t>Not applicable.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6" w:name="O_1194674"/>
      <w:bookmarkEnd w:id="6"/>
      <w:r w:rsidRPr="00A02C8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463"/>
        <w:gridCol w:w="456"/>
        <w:gridCol w:w="5930"/>
      </w:tblGrid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rPr>
                <w:rStyle w:val="SpecialBold"/>
              </w:rPr>
              <w:t>PERFORMANCE CRITERIA</w:t>
            </w:r>
          </w:p>
        </w:tc>
      </w:tr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Performance criteria describe the performance needed to demonstrate achievement of the element.</w:t>
            </w:r>
          </w:p>
        </w:tc>
      </w:tr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rPr>
                <w:rStyle w:val="SpecialBold"/>
              </w:rPr>
              <w:t>Follow workplace WHS/OHS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Relevant WHS/OHS, workplace hazard, control procedures and safe work practices are identified and followed</w:t>
            </w:r>
          </w:p>
        </w:tc>
      </w:tr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Wo</w:t>
            </w:r>
            <w:r w:rsidRPr="00A02C81">
              <w:t>rkplace procedures for reporting hazards are identified and adhered to</w:t>
            </w:r>
          </w:p>
        </w:tc>
      </w:tr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All relevant work activities are undertaken in a safe manner according to WHS/OHS guidelines and workplace procedures</w:t>
            </w:r>
          </w:p>
        </w:tc>
      </w:tr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Work area is assessed regularly and procedures to report, remove or minimise potential hazards are followed</w:t>
            </w:r>
          </w:p>
        </w:tc>
      </w:tr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Personal protective equipment (PPE) is correctly used in accordance with safety and workplace procedures</w:t>
            </w:r>
          </w:p>
        </w:tc>
      </w:tr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rPr>
                <w:rStyle w:val="SpecialBold"/>
              </w:rPr>
              <w:t>Maintain personal wellbeing in th</w:t>
            </w:r>
            <w:r w:rsidRPr="00A02C81">
              <w:rPr>
                <w:rStyle w:val="SpecialBold"/>
              </w:rPr>
              <w:t>e workplace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 xml:space="preserve">Risks to personal wellbeing that may affect safe performance in the workplace are identified </w:t>
            </w:r>
          </w:p>
        </w:tc>
      </w:tr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Procedures for maintaining a tidy and clean personal work area are identified and followed</w:t>
            </w:r>
          </w:p>
        </w:tc>
      </w:tr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rPr>
                <w:rStyle w:val="SpecialBold"/>
              </w:rPr>
              <w:t>Respond to emergency 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Emergency procedures are followed in accordance with organisational procedures</w:t>
            </w:r>
          </w:p>
        </w:tc>
      </w:tr>
      <w:tr w:rsidTr="00C22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t>Assistance from colleagues and/or other authorities is sought where appropriate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7" w:name="O_1194675"/>
      <w:bookmarkEnd w:id="7"/>
      <w:r w:rsidRPr="00A02C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t>Foundation skills essential to performance are explicit in the performance criteria of this unit of competency.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8" w:name="O_1194676"/>
      <w:bookmarkEnd w:id="8"/>
      <w:r w:rsidRPr="00A02C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t>Range is restricted to essential operating conditions and any other variables essential to the work en</w:t>
            </w:r>
            <w:r w:rsidRPr="00A02C81">
              <w:t>vironment.</w:t>
            </w:r>
          </w:p>
          <w:p w:rsidR="00000000" w:rsidRPr="00A02C81" w:rsidP="00A02C81">
            <w:pPr>
              <w:pStyle w:val="BodyText"/>
            </w:pPr>
            <w:r w:rsidRPr="00A02C81">
              <w:t>Non-essential conditions can be found in the TLI Transport and Logistics Training Package Companion Volume Implementation Guide.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9" w:name="O_1194677"/>
      <w:bookmarkEnd w:id="9"/>
      <w:r w:rsidRPr="00A02C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t>This unit replaces and is equivalent to TLIPC1001 Demonstrate care and apply safe practices at work.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10" w:name="O_1194684"/>
      <w:bookmarkEnd w:id="10"/>
      <w:r w:rsidRPr="00A02C81">
        <w:t>Links</w:t>
      </w:r>
    </w:p>
    <w:p w:rsidR="00000000" w:rsidRPr="00A02C81" w:rsidP="00C22B13">
      <w:pPr>
        <w:pStyle w:val="BodyText"/>
      </w:pPr>
      <w:r w:rsidRPr="00A02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639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02C81" w:rsidP="00C22B13">
      <w:pPr>
        <w:pStyle w:val="BodyText"/>
        <w:sectPr w:rsidSect="00A02C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C81" w:rsidP="00A02C81">
      <w:pPr>
        <w:pStyle w:val="SuperHeading"/>
      </w:pPr>
      <w:r w:rsidRPr="00A02C81">
        <w:t>Assessment Requirements for TLIPC0005 Demonstrate safe practices at work</w:t>
      </w:r>
    </w:p>
    <w:p w:rsidR="00000000" w:rsidRPr="00A02C81" w:rsidP="00A02C81">
      <w:pPr>
        <w:pStyle w:val="Heading1"/>
      </w:pPr>
      <w:bookmarkStart w:id="11" w:name="O_1194679"/>
      <w:bookmarkEnd w:id="11"/>
      <w:r w:rsidRPr="00A02C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rPr>
                <w:rStyle w:val="SpecialBold"/>
              </w:rPr>
              <w:t>Release 1.</w:t>
            </w:r>
            <w:r w:rsidRPr="00A02C81">
              <w:t xml:space="preserve"> This is the first release of this unit of competency in the TLI Tra</w:t>
            </w:r>
            <w:r w:rsidRPr="00A02C81">
              <w:t>nsport and Logistics Training Package.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12" w:name="O_1194680"/>
      <w:bookmarkEnd w:id="12"/>
      <w:r w:rsidRPr="00A02C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 xml:space="preserve">Evidence required to demonstrate competence in this unit must be relevant to and satisfy all the requirements of the elements and performance criteria on at </w:t>
            </w:r>
            <w:r w:rsidRPr="00A02C81">
              <w:t>least one occasion and include:</w:t>
            </w:r>
          </w:p>
        </w:tc>
      </w:tr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ListBullet2"/>
            </w:pPr>
            <w:r w:rsidRPr="00A02C81">
              <w:t>identifying and following relevant legislation and workplace procedures</w:t>
            </w:r>
          </w:p>
          <w:p w:rsidR="00000000" w:rsidRPr="00A02C81" w:rsidP="00A02C81">
            <w:pPr>
              <w:pStyle w:val="ListBullet2"/>
            </w:pPr>
            <w:r w:rsidRPr="00A02C81">
              <w:t>maintaining a clean workspace</w:t>
            </w:r>
          </w:p>
          <w:p w:rsidR="00000000" w:rsidRPr="00A02C81" w:rsidP="00A02C81">
            <w:pPr>
              <w:pStyle w:val="ListBullet2"/>
            </w:pPr>
            <w:r w:rsidRPr="00A02C81">
              <w:t>recognising own limitations and asking for assistance</w:t>
            </w:r>
          </w:p>
          <w:p w:rsidR="00000000" w:rsidRPr="00A02C81" w:rsidP="00A02C81">
            <w:pPr>
              <w:pStyle w:val="ListBullet2"/>
            </w:pPr>
            <w:r w:rsidRPr="00A02C81">
              <w:t>reporting workplace hazards and work health and safety (WHS)/occup</w:t>
            </w:r>
            <w:r w:rsidRPr="00A02C81">
              <w:t>ational health and safety (OHS) incidents and hazards</w:t>
            </w:r>
          </w:p>
          <w:p w:rsidR="00000000" w:rsidRPr="00A02C81" w:rsidP="00A02C81">
            <w:pPr>
              <w:pStyle w:val="ListBullet2"/>
            </w:pPr>
            <w:r w:rsidRPr="00A02C81">
              <w:t xml:space="preserve">responding to emergency situations </w:t>
            </w:r>
          </w:p>
          <w:p w:rsidR="00000000" w:rsidRPr="00A02C81" w:rsidP="00A02C81">
            <w:pPr>
              <w:pStyle w:val="ListBullet2"/>
            </w:pPr>
            <w:r w:rsidRPr="00A02C81">
              <w:t>using required personal protective equipment (PPE) and other equipment required when following WHS/OHS procedures.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13" w:name="O_1194681"/>
      <w:bookmarkEnd w:id="13"/>
      <w:r w:rsidRPr="00A02C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ListBullet2"/>
            </w:pPr>
            <w:r w:rsidRPr="00A02C81">
              <w:t>applicable national, state/territory regulations</w:t>
            </w:r>
          </w:p>
          <w:p w:rsidR="00000000" w:rsidRPr="00A02C81" w:rsidP="00A02C81">
            <w:pPr>
              <w:pStyle w:val="ListBullet2"/>
            </w:pPr>
            <w:r w:rsidRPr="00A02C81">
              <w:t>appropriate safety standards</w:t>
            </w:r>
          </w:p>
          <w:p w:rsidR="00000000" w:rsidRPr="00A02C81" w:rsidP="00A02C81">
            <w:pPr>
              <w:pStyle w:val="ListBullet2"/>
            </w:pPr>
            <w:r w:rsidRPr="00A02C81">
              <w:t>emergency procedures</w:t>
            </w:r>
          </w:p>
          <w:p w:rsidR="00000000" w:rsidRPr="00A02C81" w:rsidP="00A02C81">
            <w:pPr>
              <w:pStyle w:val="ListBullet2"/>
            </w:pPr>
            <w:r w:rsidRPr="00A02C81">
              <w:t>PPE relevant to the job and job context</w:t>
            </w:r>
          </w:p>
          <w:p w:rsidR="00000000" w:rsidRPr="00A02C81" w:rsidP="00A02C81">
            <w:pPr>
              <w:pStyle w:val="ListBullet2"/>
            </w:pPr>
            <w:r w:rsidRPr="00A02C81">
              <w:t>procedures related to WHS/OHS to be followed in the work area concerned</w:t>
            </w:r>
          </w:p>
          <w:p w:rsidR="00000000" w:rsidRPr="00A02C81" w:rsidP="00A02C81">
            <w:pPr>
              <w:pStyle w:val="ListBullet2"/>
            </w:pPr>
            <w:r w:rsidRPr="00A02C81">
              <w:t>workplace hazards and control measures</w:t>
            </w:r>
          </w:p>
          <w:p w:rsidR="00000000" w:rsidRPr="00A02C81" w:rsidP="00A02C81">
            <w:pPr>
              <w:pStyle w:val="ListBullet2"/>
            </w:pPr>
            <w:r w:rsidRPr="00A02C81">
              <w:t>workplace materials, housekeeping equipment and the processes and procedures for use.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14" w:name="O_1194682"/>
      <w:bookmarkEnd w:id="14"/>
      <w:r w:rsidRPr="00A02C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t>Assessors must hold credentials specified within the Standards for Registered Training Organisations current at the time of as</w:t>
            </w:r>
            <w:r w:rsidRPr="00A02C81">
              <w:t xml:space="preserve">sessment. </w:t>
            </w:r>
          </w:p>
          <w:p w:rsidR="00000000" w:rsidRPr="00A02C81" w:rsidP="00A02C81">
            <w:pPr>
              <w:pStyle w:val="BodyText"/>
            </w:pPr>
            <w:r w:rsidRPr="00A02C8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02C81" w:rsidP="00A02C81">
            <w:pPr>
              <w:pStyle w:val="BodyText"/>
            </w:pPr>
            <w:r w:rsidRPr="00A02C81">
              <w:t xml:space="preserve">Assessment must occur in workplace </w:t>
            </w:r>
            <w:r w:rsidRPr="00A02C81">
              <w:t>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02C81" w:rsidP="00A02C81">
            <w:pPr>
              <w:pStyle w:val="BodyText"/>
            </w:pPr>
            <w:r w:rsidRPr="00A02C8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02C81" w:rsidP="00A02C81">
            <w:pPr>
              <w:pStyle w:val="BodyText"/>
            </w:pPr>
            <w:r w:rsidRPr="00A02C81">
              <w:t>Resources for assessment must include access to:</w:t>
            </w:r>
          </w:p>
          <w:p w:rsidR="00000000" w:rsidRPr="00A02C81" w:rsidP="00A02C81">
            <w:pPr>
              <w:pStyle w:val="ListBullet2"/>
            </w:pPr>
            <w:r w:rsidRPr="00A02C81">
              <w:t>a range of relevant exercises, case st</w:t>
            </w:r>
            <w:r w:rsidRPr="00A02C81">
              <w:t>udies and/or simulations</w:t>
            </w:r>
          </w:p>
          <w:p w:rsidR="00000000" w:rsidRPr="00A02C81" w:rsidP="00A02C81">
            <w:pPr>
              <w:pStyle w:val="ListBullet2"/>
            </w:pPr>
            <w:r w:rsidRPr="00A02C81">
              <w:t>relevant and appropriate materials, tools, equipment and PPE currently used in industry</w:t>
            </w:r>
          </w:p>
          <w:p w:rsidR="00000000" w:rsidRPr="00A02C81" w:rsidP="00A02C81">
            <w:pPr>
              <w:pStyle w:val="ListBullet2"/>
            </w:pPr>
            <w:r w:rsidRPr="00A02C81">
              <w:t>applicable documentation, including legislation, regulations, codes of practice, workplace procedures and operation manuals.</w:t>
            </w:r>
          </w:p>
        </w:tc>
      </w:tr>
    </w:tbl>
    <w:p w:rsidR="00C22B13" w:rsidP="00A02C81">
      <w:pPr>
        <w:pStyle w:val="NoPaddingFontSize1"/>
      </w:pPr>
    </w:p>
    <w:p w:rsidR="00C22B13" w:rsidP="00A02C81">
      <w:pPr>
        <w:pStyle w:val="NoPaddingFontSize1"/>
      </w:pPr>
    </w:p>
    <w:p w:rsidR="00000000" w:rsidRPr="00A02C81" w:rsidP="00A02C81">
      <w:pPr>
        <w:pStyle w:val="Heading1"/>
      </w:pPr>
      <w:bookmarkStart w:id="15" w:name="O_1194685"/>
      <w:bookmarkEnd w:id="15"/>
      <w:r w:rsidRPr="00A02C81">
        <w:t>Links</w:t>
      </w:r>
    </w:p>
    <w:p w:rsidR="00000000" w:rsidRPr="00A02C81" w:rsidP="00C22B13">
      <w:pPr>
        <w:pStyle w:val="BodyText"/>
      </w:pPr>
      <w:r w:rsidRPr="00A02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639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02C81" w:rsidP="00A02C81"/>
    <w:sectPr w:rsidSect="00A02C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 w:rsidRPr="00C22B13" w:rsidP="00C22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13" w:rsidP="00A02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B13" w:rsidP="00A02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2B13" w:rsidP="00A02C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 w:rsidP="00A02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2B13">
      <w:t>Approved</w:t>
    </w:r>
    <w:r w:rsidR="00C22B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2B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2B13">
      <w:rPr>
        <w:noProof/>
      </w:rPr>
      <w:t>4</w:t>
    </w:r>
    <w:r>
      <w:rPr>
        <w:noProof/>
      </w:rPr>
      <w:fldChar w:fldCharType="end"/>
    </w:r>
  </w:p>
  <w:p w:rsidR="00A02C81" w:rsidP="00A02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2B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2B13">
      <w:t>Industry Skills Australia</w:t>
    </w:r>
    <w:r w:rsidR="00C22B13">
      <w:fldChar w:fldCharType="end"/>
    </w:r>
  </w:p>
  <w:p w:rsidR="00A02C81" w:rsidP="00A02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C81" w:rsidRPr="00C22B13" w:rsidP="00C22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13" w:rsidRPr="002D2AF8" w:rsidP="00A02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TLIPC0005 Demonstrate safe practices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2B13" w:rsidP="00A02C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 w:rsidRPr="002D2AF8" w:rsidP="00A02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2B13">
      <w:t>TLIPC0005 Demonstrate safe practices at work</w:t>
    </w:r>
    <w:r w:rsidR="00C22B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2B13">
      <w:rPr>
        <w:noProof/>
      </w:rPr>
      <w:t>2 March 2025</w:t>
    </w:r>
    <w:r>
      <w:fldChar w:fldCharType="end"/>
    </w:r>
  </w:p>
  <w:p w:rsidR="00A02C81" w:rsidP="00A02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FE1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3E2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C81"/>
  </w:style>
  <w:style w:type="character" w:customStyle="1" w:styleId="Heading1Char">
    <w:name w:val="Heading 1 Char"/>
    <w:basedOn w:val="DefaultParagraphFont"/>
    <w:link w:val="Heading1"/>
    <w:rsid w:val="00A02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C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2C81"/>
    <w:rPr>
      <w:b/>
      <w:spacing w:val="0"/>
    </w:rPr>
  </w:style>
  <w:style w:type="paragraph" w:styleId="ListBullet2">
    <w:name w:val="List Bullet 2"/>
    <w:basedOn w:val="List2"/>
    <w:rsid w:val="00A02C81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2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2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C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C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2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C81"/>
    <w:rPr>
      <w:i/>
    </w:rPr>
  </w:style>
  <w:style w:type="paragraph" w:styleId="Caption">
    <w:name w:val="caption"/>
    <w:basedOn w:val="BodyText"/>
    <w:next w:val="Normal"/>
    <w:qFormat/>
    <w:rsid w:val="00A02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C81"/>
  </w:style>
  <w:style w:type="paragraph" w:styleId="TableofFigures">
    <w:name w:val="table of figures"/>
    <w:basedOn w:val="Normal"/>
    <w:next w:val="Normal"/>
    <w:semiHidden/>
    <w:rsid w:val="00A02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C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2C81"/>
    <w:rPr>
      <w:rFonts w:ascii="Wingdings" w:hAnsi="Wingdings"/>
    </w:rPr>
  </w:style>
  <w:style w:type="paragraph" w:customStyle="1" w:styleId="TableHeading">
    <w:name w:val="Table Heading"/>
    <w:basedOn w:val="HeadingBase"/>
    <w:rsid w:val="00A02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C81"/>
    <w:rPr>
      <w:color w:val="0033CC"/>
      <w:u w:val="none"/>
    </w:rPr>
  </w:style>
  <w:style w:type="paragraph" w:customStyle="1" w:styleId="BodyTextRight">
    <w:name w:val="Body Text Right"/>
    <w:basedOn w:val="BodyText"/>
    <w:rsid w:val="00A02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C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C81"/>
    <w:rPr>
      <w:sz w:val="32"/>
    </w:rPr>
  </w:style>
  <w:style w:type="paragraph" w:customStyle="1" w:styleId="HeadingProcedure">
    <w:name w:val="Heading Procedure"/>
    <w:basedOn w:val="HeadingBase"/>
    <w:next w:val="Normal"/>
    <w:rsid w:val="00A02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C81"/>
    <w:pPr>
      <w:spacing w:before="60" w:after="60"/>
    </w:pPr>
  </w:style>
  <w:style w:type="paragraph" w:styleId="ListContinue">
    <w:name w:val="List Continue"/>
    <w:basedOn w:val="List"/>
    <w:rsid w:val="00A02C81"/>
    <w:pPr>
      <w:ind w:firstLine="0"/>
    </w:pPr>
  </w:style>
  <w:style w:type="paragraph" w:customStyle="1" w:styleId="ListNote">
    <w:name w:val="List Note"/>
    <w:basedOn w:val="List"/>
    <w:rsid w:val="00A02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C81"/>
    <w:rPr>
      <w:rFonts w:ascii="Courier New" w:hAnsi="Courier New"/>
    </w:rPr>
  </w:style>
  <w:style w:type="paragraph" w:customStyle="1" w:styleId="NoteBullet">
    <w:name w:val="Note Bullet"/>
    <w:basedOn w:val="Note"/>
    <w:rsid w:val="00A02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C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2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C81"/>
    <w:rPr>
      <w:b/>
      <w:smallCaps/>
    </w:rPr>
  </w:style>
  <w:style w:type="paragraph" w:customStyle="1" w:styleId="TableListNumber">
    <w:name w:val="Table List Number"/>
    <w:basedOn w:val="ListNumber"/>
    <w:rsid w:val="00A02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C81"/>
    <w:pPr>
      <w:numPr>
        <w:numId w:val="8"/>
      </w:numPr>
    </w:pPr>
  </w:style>
  <w:style w:type="paragraph" w:customStyle="1" w:styleId="ListAlpha2">
    <w:name w:val="List Alpha 2"/>
    <w:basedOn w:val="List2"/>
    <w:rsid w:val="00A02C81"/>
    <w:pPr>
      <w:numPr>
        <w:numId w:val="7"/>
      </w:numPr>
    </w:pPr>
  </w:style>
  <w:style w:type="paragraph" w:styleId="List2">
    <w:name w:val="List 2"/>
    <w:basedOn w:val="BodyText"/>
    <w:rsid w:val="00A02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C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C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2C81"/>
    <w:pPr>
      <w:numPr>
        <w:numId w:val="3"/>
      </w:numPr>
    </w:pPr>
  </w:style>
  <w:style w:type="paragraph" w:styleId="ListContinue2">
    <w:name w:val="List Continue 2"/>
    <w:basedOn w:val="List2"/>
    <w:rsid w:val="00A02C81"/>
    <w:pPr>
      <w:ind w:firstLine="0"/>
    </w:pPr>
  </w:style>
  <w:style w:type="paragraph" w:styleId="ListContinue3">
    <w:name w:val="List Continue 3"/>
    <w:basedOn w:val="List3"/>
    <w:rsid w:val="00A02C81"/>
    <w:pPr>
      <w:ind w:left="1021" w:firstLine="0"/>
    </w:pPr>
  </w:style>
  <w:style w:type="paragraph" w:styleId="ListContinue4">
    <w:name w:val="List Continue 4"/>
    <w:basedOn w:val="List4"/>
    <w:rsid w:val="00A02C81"/>
    <w:pPr>
      <w:ind w:firstLine="0"/>
    </w:pPr>
  </w:style>
  <w:style w:type="paragraph" w:styleId="ListContinue5">
    <w:name w:val="List Continue 5"/>
    <w:basedOn w:val="List5"/>
    <w:rsid w:val="00A02C81"/>
    <w:pPr>
      <w:ind w:firstLine="0"/>
    </w:pPr>
  </w:style>
  <w:style w:type="paragraph" w:styleId="ListNumber3">
    <w:name w:val="List Number 3"/>
    <w:basedOn w:val="List3"/>
    <w:rsid w:val="00A02C81"/>
    <w:pPr>
      <w:numPr>
        <w:numId w:val="4"/>
      </w:numPr>
    </w:pPr>
  </w:style>
  <w:style w:type="paragraph" w:styleId="ListNumber4">
    <w:name w:val="List Number 4"/>
    <w:basedOn w:val="List4"/>
    <w:rsid w:val="00A02C81"/>
    <w:pPr>
      <w:numPr>
        <w:numId w:val="5"/>
      </w:numPr>
    </w:pPr>
  </w:style>
  <w:style w:type="paragraph" w:styleId="ListNumber5">
    <w:name w:val="List Number 5"/>
    <w:basedOn w:val="List5"/>
    <w:rsid w:val="00A02C81"/>
    <w:pPr>
      <w:numPr>
        <w:numId w:val="6"/>
      </w:numPr>
    </w:pPr>
  </w:style>
  <w:style w:type="paragraph" w:styleId="BlockText">
    <w:name w:val="Block Text"/>
    <w:basedOn w:val="Normal"/>
    <w:rsid w:val="00A02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C81"/>
    <w:rPr>
      <w:sz w:val="16"/>
      <w:vertAlign w:val="superscript"/>
    </w:rPr>
  </w:style>
  <w:style w:type="character" w:customStyle="1" w:styleId="Symbols">
    <w:name w:val="Symbols"/>
    <w:basedOn w:val="DefaultParagraphFont"/>
    <w:rsid w:val="00A02C81"/>
    <w:rPr>
      <w:rFonts w:ascii="Symbol" w:hAnsi="Symbol"/>
    </w:rPr>
  </w:style>
  <w:style w:type="character" w:customStyle="1" w:styleId="MenuOptions">
    <w:name w:val="Menu Options"/>
    <w:basedOn w:val="DefaultParagraphFont"/>
    <w:rsid w:val="00A02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C81"/>
    <w:rPr>
      <w:b/>
    </w:rPr>
  </w:style>
  <w:style w:type="character" w:customStyle="1" w:styleId="Underlined">
    <w:name w:val="Underlined"/>
    <w:basedOn w:val="DefaultParagraphFont"/>
    <w:rsid w:val="00A02C81"/>
    <w:rPr>
      <w:u w:val="single"/>
    </w:rPr>
  </w:style>
  <w:style w:type="paragraph" w:customStyle="1" w:styleId="TableBodyTextRight">
    <w:name w:val="Table Body Text Right"/>
    <w:basedOn w:val="TableBodyText"/>
    <w:rsid w:val="00A02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C81"/>
    <w:rPr>
      <w:sz w:val="18"/>
    </w:rPr>
  </w:style>
  <w:style w:type="paragraph" w:customStyle="1" w:styleId="BodySmallRight">
    <w:name w:val="Body Small Right"/>
    <w:basedOn w:val="BodyTextRight"/>
    <w:rsid w:val="00A02C81"/>
    <w:rPr>
      <w:sz w:val="18"/>
      <w:szCs w:val="18"/>
    </w:rPr>
  </w:style>
  <w:style w:type="paragraph" w:customStyle="1" w:styleId="MarginEdition">
    <w:name w:val="Margin Edition"/>
    <w:basedOn w:val="MarginNote"/>
    <w:rsid w:val="00A02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C81"/>
    <w:rPr>
      <w:sz w:val="2"/>
      <w:szCs w:val="2"/>
    </w:rPr>
  </w:style>
  <w:style w:type="character" w:customStyle="1" w:styleId="Small">
    <w:name w:val="Small"/>
    <w:basedOn w:val="DefaultParagraphFont"/>
    <w:rsid w:val="00A02C81"/>
    <w:rPr>
      <w:sz w:val="16"/>
    </w:rPr>
  </w:style>
  <w:style w:type="paragraph" w:customStyle="1" w:styleId="WideTable">
    <w:name w:val="Wide Table"/>
    <w:basedOn w:val="Normal"/>
    <w:rsid w:val="00A02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C81"/>
  </w:style>
  <w:style w:type="paragraph" w:styleId="Quote">
    <w:name w:val="Quote"/>
    <w:basedOn w:val="Heading1"/>
    <w:link w:val="QuoteChar"/>
    <w:qFormat/>
    <w:rsid w:val="00A02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C81"/>
    <w:pPr>
      <w:pageBreakBefore/>
    </w:pPr>
  </w:style>
  <w:style w:type="paragraph" w:customStyle="1" w:styleId="Border">
    <w:name w:val="Border"/>
    <w:basedOn w:val="Normal"/>
    <w:qFormat/>
    <w:rsid w:val="00A02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C81"/>
    <w:rPr>
      <w:u w:val="single"/>
    </w:rPr>
  </w:style>
  <w:style w:type="character" w:customStyle="1" w:styleId="BoldandItalics">
    <w:name w:val="Bold and Italics"/>
    <w:qFormat/>
    <w:rsid w:val="00A02C81"/>
    <w:rPr>
      <w:b/>
      <w:i/>
      <w:u w:val="none"/>
    </w:rPr>
  </w:style>
  <w:style w:type="paragraph" w:styleId="BalloonText">
    <w:name w:val="Balloon Text"/>
    <w:basedOn w:val="Normal"/>
    <w:link w:val="BalloonTextChar"/>
    <w:rsid w:val="00A02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C81"/>
    <w:pPr>
      <w:spacing w:before="0" w:after="0"/>
    </w:pPr>
  </w:style>
  <w:style w:type="paragraph" w:customStyle="1" w:styleId="BodyTextBold">
    <w:name w:val="Body Text Bold"/>
    <w:basedOn w:val="BodyText"/>
    <w:qFormat/>
    <w:rsid w:val="00A02C81"/>
    <w:rPr>
      <w:b/>
    </w:rPr>
  </w:style>
  <w:style w:type="character" w:styleId="Hyperlink">
    <w:name w:val="Hyperlink"/>
    <w:basedOn w:val="DefaultParagraphFont"/>
    <w:uiPriority w:val="99"/>
    <w:unhideWhenUsed/>
    <w:rsid w:val="00C22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4932</Characters>
  <Application>Microsoft Office Word</Application>
  <DocSecurity>0</DocSecurity>
  <Lines>176</Lines>
  <Paragraphs>103</Paragraphs>
  <ScaleCrop>false</ScaleCrop>
  <Company>Author-it Software Corporation Ltd.</Company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TLIPC0005 Demonstrate safe practices at work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2025-03-01T23:49:00Z</dcterms:created>
  <dcterms:modified xsi:type="dcterms:W3CDTF">2025-03-01T23:49:00Z</dcterms:modified>
</cp:coreProperties>
</file>