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678" w:rsidP="00EA76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TLIP5025 Set and achieve budgets</w:t>
      </w:r>
      <w:r>
        <w:fldChar w:fldCharType="end"/>
      </w:r>
    </w:p>
    <w:p w:rsidR="00EA7678" w:rsidP="00EA7678">
      <w:pPr>
        <w:pStyle w:val="Version"/>
        <w:sectPr w:rsidSect="005D26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26E9" w:rsidP="005D26E9">
      <w:pPr>
        <w:pStyle w:val="SuperHeading"/>
      </w:pPr>
      <w:r w:rsidRPr="005D26E9">
        <w:t>TLIP5025 Set and achieve budgets</w:t>
      </w:r>
    </w:p>
    <w:p w:rsidR="00000000" w:rsidRPr="005D26E9" w:rsidP="005D26E9">
      <w:pPr>
        <w:pStyle w:val="Heading1"/>
      </w:pPr>
      <w:bookmarkStart w:id="1" w:name="O_1232558"/>
      <w:bookmarkEnd w:id="1"/>
      <w:r w:rsidRPr="005D26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6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rPr>
                <w:rStyle w:val="SpecialBold"/>
              </w:rPr>
              <w:t>Release 2</w:t>
            </w:r>
            <w:r w:rsidRPr="005D26E9">
              <w:t>. This is the second release of this unit of competency in the TLI Transport and Logistics Training Package.</w:t>
            </w:r>
          </w:p>
          <w:p w:rsidR="00000000" w:rsidRPr="005D26E9" w:rsidP="005D26E9">
            <w:pPr>
              <w:pStyle w:val="ListBullet"/>
            </w:pPr>
            <w:r w:rsidRPr="005D26E9">
              <w:t>Minor statement changes in Performance Evidence</w:t>
            </w:r>
          </w:p>
          <w:p w:rsidR="00000000" w:rsidRPr="005D26E9" w:rsidP="005D26E9">
            <w:pPr>
              <w:pStyle w:val="ListBullet"/>
            </w:pPr>
            <w:r w:rsidRPr="005D26E9">
              <w:t>Minor statement changes in Knowledge Evidence</w:t>
            </w:r>
          </w:p>
          <w:p w:rsidR="00000000" w:rsidP="005D26E9">
            <w:pPr>
              <w:pStyle w:val="ListBullet"/>
              <w:rPr>
                <w:lang w:val="en-NZ"/>
              </w:rPr>
            </w:pPr>
            <w:r w:rsidRPr="005D26E9">
              <w:t>Minor statement change</w:t>
            </w:r>
            <w:r w:rsidRPr="005D26E9">
              <w:t>s in Assessment Conditions.</w:t>
            </w:r>
          </w:p>
        </w:tc>
      </w:tr>
      <w:tr w:rsidTr="005D26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rPr>
                <w:rStyle w:val="SpecialBold"/>
              </w:rPr>
              <w:t>Release 1</w:t>
            </w:r>
            <w:r w:rsidRPr="005D26E9">
              <w:t>. This is the first release of this unit of competency in the TLI Transport and Logistics Training Package.</w:t>
            </w:r>
          </w:p>
        </w:tc>
      </w:tr>
    </w:tbl>
    <w:p w:rsidR="00EA7678" w:rsidP="005D26E9">
      <w:pPr>
        <w:pStyle w:val="NoPaddingFontSize1"/>
      </w:pPr>
    </w:p>
    <w:p w:rsidR="00EA7678" w:rsidP="005D26E9">
      <w:pPr>
        <w:pStyle w:val="NoPaddingFontSize1"/>
      </w:pPr>
    </w:p>
    <w:p w:rsidR="00000000" w:rsidRPr="005D26E9" w:rsidP="005D26E9">
      <w:pPr>
        <w:pStyle w:val="Heading1"/>
      </w:pPr>
      <w:bookmarkStart w:id="2" w:name="O_1232557"/>
      <w:bookmarkEnd w:id="2"/>
      <w:r w:rsidRPr="005D26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6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t>This unit involves the skills and knowledge required to set and achieve wor</w:t>
            </w:r>
            <w:r w:rsidRPr="005D26E9">
              <w:t xml:space="preserve">kplace budgets in accordance with relevant regulatory requirements, financial standards, codes of practice and workplace procedures. </w:t>
            </w:r>
          </w:p>
          <w:p w:rsidR="00000000" w:rsidRPr="005D26E9" w:rsidP="005D26E9">
            <w:pPr>
              <w:pStyle w:val="BodyText"/>
            </w:pPr>
            <w:r w:rsidRPr="005D26E9">
              <w:t>It includes planning budget requirements, monitoring the budget and taking appropriate corrective actions when needed. It also includes monitoring expenditure and reviewing and appropriately modifying the budget.</w:t>
            </w:r>
          </w:p>
          <w:p w:rsidR="00000000" w:rsidRPr="005D26E9" w:rsidP="005D26E9">
            <w:pPr>
              <w:pStyle w:val="BodyText"/>
            </w:pPr>
            <w:r w:rsidRPr="005D26E9">
              <w:t xml:space="preserve">Work is under general guidance on progress </w:t>
            </w:r>
            <w:r w:rsidRPr="005D26E9">
              <w:t>and outcomes. It requires discretion and judgement for self and others in planning and using resources, services and processes to achieve required outcomes.</w:t>
            </w:r>
          </w:p>
          <w:p w:rsidR="00000000" w:rsidRPr="005D26E9" w:rsidP="005D26E9">
            <w:pPr>
              <w:pStyle w:val="BodyText"/>
            </w:pPr>
            <w:r w:rsidRPr="005D26E9">
              <w:t>The unit generally applies to those with responsibility for resource coordination and allocation wh</w:t>
            </w:r>
            <w:r w:rsidRPr="005D26E9">
              <w:t>o lead individuals or teams.</w:t>
            </w:r>
          </w:p>
          <w:p w:rsidR="00000000" w:rsidRPr="005D26E9" w:rsidP="005D26E9">
            <w:pPr>
              <w:pStyle w:val="BodyText"/>
            </w:pPr>
            <w:r w:rsidRPr="005D26E9">
              <w:t>No licensing, legislative or certification requirements apply to this unit at the time of publication.</w:t>
            </w:r>
          </w:p>
        </w:tc>
      </w:tr>
    </w:tbl>
    <w:p w:rsidR="00EA7678" w:rsidP="005D26E9">
      <w:pPr>
        <w:pStyle w:val="NoPaddingFontSize1"/>
      </w:pPr>
    </w:p>
    <w:p w:rsidR="00EA7678" w:rsidP="005D26E9">
      <w:pPr>
        <w:pStyle w:val="NoPaddingFontSize1"/>
      </w:pPr>
    </w:p>
    <w:p w:rsidR="00000000" w:rsidRPr="005D26E9" w:rsidP="005D26E9">
      <w:pPr>
        <w:pStyle w:val="Heading1"/>
      </w:pPr>
      <w:bookmarkStart w:id="3" w:name="O_1232556"/>
      <w:bookmarkEnd w:id="3"/>
      <w:r w:rsidRPr="005D26E9">
        <w:t>Pre-requisite Unit</w:t>
      </w:r>
    </w:p>
    <w:p w:rsidR="00000000" w:rsidRPr="005D26E9" w:rsidP="00EA7678">
      <w:pPr>
        <w:pStyle w:val="BodyText"/>
      </w:pPr>
      <w:r w:rsidRPr="005D26E9">
        <w:t>Not applicable.</w:t>
      </w:r>
    </w:p>
    <w:p w:rsidR="00000000" w:rsidRPr="005D26E9" w:rsidP="005D26E9">
      <w:pPr>
        <w:pStyle w:val="Heading1"/>
      </w:pPr>
      <w:bookmarkStart w:id="4" w:name="O_1232555"/>
      <w:bookmarkEnd w:id="4"/>
      <w:r w:rsidRPr="005D26E9">
        <w:t>Competency Field</w:t>
      </w:r>
    </w:p>
    <w:p w:rsidR="00EA7678" w:rsidP="00EA7678">
      <w:pPr>
        <w:pStyle w:val="BodyText"/>
      </w:pPr>
      <w:r w:rsidRPr="005D26E9">
        <w:t>P ‒ Administration and Finance</w:t>
      </w:r>
    </w:p>
    <w:p w:rsidR="00000000" w:rsidRPr="005D26E9" w:rsidP="005D26E9">
      <w:pPr>
        <w:pStyle w:val="Heading1"/>
      </w:pPr>
      <w:bookmarkStart w:id="5" w:name="O_1232554"/>
      <w:bookmarkEnd w:id="5"/>
      <w:r w:rsidRPr="005D26E9">
        <w:t>Unit Sector</w:t>
      </w:r>
    </w:p>
    <w:p w:rsidR="00000000" w:rsidRPr="005D26E9" w:rsidP="00EA7678">
      <w:pPr>
        <w:pStyle w:val="BodyText"/>
      </w:pPr>
      <w:r w:rsidRPr="005D26E9">
        <w:t>Not applicable.</w:t>
      </w:r>
    </w:p>
    <w:p w:rsidR="00000000" w:rsidRPr="005D26E9" w:rsidP="005D26E9">
      <w:pPr>
        <w:pStyle w:val="Heading1"/>
      </w:pPr>
      <w:bookmarkStart w:id="6" w:name="O_1232553"/>
      <w:bookmarkEnd w:id="6"/>
      <w:r w:rsidRPr="005D26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5"/>
        <w:gridCol w:w="1727"/>
        <w:gridCol w:w="608"/>
        <w:gridCol w:w="3076"/>
        <w:gridCol w:w="2809"/>
        <w:gridCol w:w="384"/>
      </w:tblGrid>
      <w:tr w:rsidTr="005D2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rPr>
                <w:rStyle w:val="SpecialBold"/>
              </w:rPr>
              <w:t>ELEMENTS</w:t>
            </w:r>
          </w:p>
        </w:tc>
        <w:tc>
          <w:tcPr>
            <w:tcW w:w="31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rPr>
                <w:rStyle w:val="SpecialBold"/>
              </w:rPr>
              <w:t>PERFORMANCE CRITERIA</w:t>
            </w:r>
          </w:p>
        </w:tc>
      </w:tr>
      <w:tr w:rsidTr="005D2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t>Elements describe the essential outcomes.</w:t>
            </w:r>
          </w:p>
        </w:tc>
        <w:tc>
          <w:tcPr>
            <w:tcW w:w="31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t>Performance criteria describe the performance needed to demonstrate achievement of the element.</w:t>
            </w:r>
          </w:p>
        </w:tc>
      </w:tr>
      <w:tr w:rsidTr="005D2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rPr>
                <w:rStyle w:val="SpecialBold"/>
              </w:rPr>
              <w:t>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rPr>
                <w:rStyle w:val="SpecialBold"/>
              </w:rPr>
              <w:t>Plan budget requirements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rPr>
                <w:rStyle w:val="SpecialBold"/>
              </w:rPr>
              <w:t>1.1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t>Financial flows for budgetary periods are planned and scheduled in accordance with workplace requirements</w:t>
            </w:r>
          </w:p>
        </w:tc>
      </w:tr>
      <w:tr w:rsidTr="005D2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rPr>
                <w:rStyle w:val="SpecialBold"/>
              </w:rPr>
              <w:t>1.2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t>Information on costs and resource utilisation is fully assessed and correctly interpreted</w:t>
            </w:r>
          </w:p>
        </w:tc>
      </w:tr>
      <w:tr w:rsidTr="005D2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rPr>
                <w:rStyle w:val="SpecialBold"/>
              </w:rPr>
              <w:t>1.3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t>Effective action is taken to reduce costs and enhance value to customer and/or workplace</w:t>
            </w:r>
          </w:p>
        </w:tc>
      </w:tr>
      <w:tr w:rsidTr="005D2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rPr>
                <w:rStyle w:val="SpecialBold"/>
              </w:rPr>
              <w:t>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rPr>
                <w:rStyle w:val="SpecialBold"/>
              </w:rPr>
              <w:t>Monitor budget and take corrective action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rPr>
                <w:rStyle w:val="SpecialBold"/>
              </w:rPr>
              <w:t>2.1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t>Corrective action i</w:t>
            </w:r>
            <w:r w:rsidRPr="005D26E9">
              <w:t>s taken in response to actual or potential significant deviations from financial plans</w:t>
            </w:r>
          </w:p>
        </w:tc>
      </w:tr>
      <w:tr w:rsidTr="005D2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rPr>
                <w:rStyle w:val="SpecialBold"/>
              </w:rPr>
              <w:t>2.2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t>Where a budget under- or over-spend is likely to occur, appropriate people are informed with minimum delay</w:t>
            </w:r>
          </w:p>
        </w:tc>
      </w:tr>
      <w:tr w:rsidTr="005D2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rPr>
                <w:rStyle w:val="SpecialBold"/>
              </w:rPr>
              <w:t>2.3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t>Prompt, corrective actions are taken in response to actual or potential significant deviations from budget</w:t>
            </w:r>
          </w:p>
        </w:tc>
      </w:tr>
      <w:tr w:rsidTr="005D2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rPr>
                <w:rStyle w:val="SpecialBold"/>
              </w:rPr>
              <w:t>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rPr>
                <w:rStyle w:val="SpecialBold"/>
              </w:rPr>
              <w:t>Monitor expenditure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rPr>
                <w:rStyle w:val="SpecialBold"/>
              </w:rPr>
              <w:t>3.1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t>Expenditure made is within agreed limits and future spending requirements are not compromised, in accordance with workpla</w:t>
            </w:r>
            <w:r w:rsidRPr="005D26E9">
              <w:t>ce policy and procedures</w:t>
            </w:r>
          </w:p>
        </w:tc>
      </w:tr>
      <w:tr w:rsidTr="005D2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rPr>
                <w:rStyle w:val="SpecialBold"/>
              </w:rPr>
              <w:t>3.2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t>Requests for expenditure outside limits of responsibility are referred to appropriate persons</w:t>
            </w:r>
          </w:p>
        </w:tc>
      </w:tr>
      <w:tr w:rsidTr="005D2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rPr>
                <w:rStyle w:val="SpecialBold"/>
              </w:rPr>
              <w:t>3.3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t>Expenditure is phased, in accordance with a planned time scale, as required</w:t>
            </w:r>
          </w:p>
        </w:tc>
      </w:tr>
      <w:tr w:rsidTr="005D2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rPr>
                <w:rStyle w:val="SpecialBold"/>
              </w:rPr>
              <w:t>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rPr>
                <w:rStyle w:val="SpecialBold"/>
              </w:rPr>
              <w:t>Review and modify budget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rPr>
                <w:rStyle w:val="SpecialBold"/>
              </w:rPr>
              <w:t>4.1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t>Actual income and expenditure are checked against agreed budgets at regular, appropriate intervals</w:t>
            </w:r>
          </w:p>
        </w:tc>
      </w:tr>
      <w:tr w:rsidTr="005D2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rPr>
                <w:rStyle w:val="SpecialBold"/>
              </w:rPr>
              <w:t>4.2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t>Necessary authority for changes in allocation between budget heads is obtained in advance of requirement</w:t>
            </w:r>
          </w:p>
        </w:tc>
      </w:tr>
      <w:tr w:rsidTr="005D2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4" w:type="dxa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>
            <w:pPr>
              <w:pStyle w:val="BodyText"/>
              <w:keepLines w:val="0"/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6E9">
            <w:pPr>
              <w:pStyle w:val="BodyText"/>
              <w:rPr>
                <w:lang w:val="en-NZ"/>
              </w:rPr>
            </w:pPr>
            <w:r w:rsidRPr="005D26E9">
              <w:rPr>
                <w:rStyle w:val="SpecialBold"/>
              </w:rPr>
              <w:t>4.3</w:t>
            </w:r>
          </w:p>
        </w:tc>
        <w:tc>
          <w:tcPr>
            <w:tcW w:w="58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t>Modifications made to agreed budgets</w:t>
            </w:r>
            <w:r w:rsidRPr="005D26E9">
              <w:t xml:space="preserve"> during the accounting period are consistent with agreed guidelines and are correctly authorised</w:t>
            </w:r>
          </w:p>
        </w:tc>
      </w:tr>
    </w:tbl>
    <w:p w:rsidR="00EA7678" w:rsidP="005D26E9">
      <w:pPr>
        <w:pStyle w:val="BodyText"/>
      </w:pPr>
    </w:p>
    <w:p w:rsidR="00EA7678" w:rsidP="005D26E9">
      <w:pPr>
        <w:pStyle w:val="BodyText"/>
      </w:pPr>
    </w:p>
    <w:p w:rsidR="00000000" w:rsidRPr="005D26E9" w:rsidP="005D26E9">
      <w:pPr>
        <w:pStyle w:val="Heading1"/>
      </w:pPr>
      <w:bookmarkStart w:id="7" w:name="O_1232552"/>
      <w:bookmarkEnd w:id="7"/>
      <w:r w:rsidRPr="005D26E9">
        <w:t>Foundation Skills</w:t>
      </w:r>
    </w:p>
    <w:p w:rsidR="00EA7678" w:rsidP="00EA7678">
      <w:pPr>
        <w:pStyle w:val="BodyText"/>
      </w:pPr>
      <w:r w:rsidRPr="005D26E9">
        <w:t>Foundation skills essential to performance are explicit in the performance criteria of this unit of competency.</w:t>
      </w:r>
    </w:p>
    <w:p w:rsidR="00000000" w:rsidRPr="005D26E9" w:rsidP="005D26E9">
      <w:pPr>
        <w:pStyle w:val="Heading1"/>
      </w:pPr>
      <w:bookmarkStart w:id="8" w:name="O_1232551"/>
      <w:bookmarkEnd w:id="8"/>
      <w:r w:rsidRPr="005D26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6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t>Range is restricted to essential operating conditions and any other variables essential to the work environment.</w:t>
            </w:r>
          </w:p>
          <w:p w:rsidR="00000000" w:rsidRPr="005D26E9" w:rsidP="005D26E9">
            <w:pPr>
              <w:pStyle w:val="BodyText"/>
            </w:pPr>
            <w:r w:rsidRPr="005D26E9">
              <w:t>Non-essential conditions can be found in the TLI Transport and Logistics Training Package Companion Volum</w:t>
            </w:r>
            <w:r w:rsidRPr="005D26E9">
              <w:t>e Implementation Guide.</w:t>
            </w:r>
          </w:p>
        </w:tc>
      </w:tr>
    </w:tbl>
    <w:p w:rsidR="00EA7678" w:rsidP="005D26E9">
      <w:pPr>
        <w:pStyle w:val="NoPaddingFontSize1"/>
      </w:pPr>
    </w:p>
    <w:p w:rsidR="00EA7678" w:rsidP="005D26E9">
      <w:pPr>
        <w:pStyle w:val="NoPaddingFontSize1"/>
      </w:pPr>
    </w:p>
    <w:p w:rsidR="00000000" w:rsidRPr="005D26E9" w:rsidP="005D26E9">
      <w:pPr>
        <w:pStyle w:val="Heading1"/>
      </w:pPr>
      <w:bookmarkStart w:id="9" w:name="O_1232550"/>
      <w:bookmarkEnd w:id="9"/>
      <w:r w:rsidRPr="005D26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6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6E9" w:rsidP="005D26E9">
            <w:pPr>
              <w:pStyle w:val="BodyText"/>
            </w:pPr>
            <w:r w:rsidRPr="005D26E9">
              <w:t>This unit replaces and is equivalent to TLIP5025A Set and achieve budget.</w:t>
            </w:r>
          </w:p>
        </w:tc>
      </w:tr>
    </w:tbl>
    <w:p w:rsidR="00000000" w:rsidRPr="005D26E9" w:rsidP="005D26E9">
      <w:pPr>
        <w:pStyle w:val="NoPaddingFontSize1"/>
      </w:pPr>
    </w:p>
    <w:p w:rsidR="00000000" w:rsidRPr="005D26E9" w:rsidP="005D26E9">
      <w:pPr>
        <w:pStyle w:val="AllowPageBreak"/>
      </w:pPr>
    </w:p>
    <w:p w:rsidR="00000000" w:rsidRPr="005D26E9" w:rsidP="005D26E9">
      <w:pPr>
        <w:pStyle w:val="Heading1"/>
      </w:pPr>
      <w:bookmarkStart w:id="10" w:name="O_1232559"/>
      <w:bookmarkEnd w:id="10"/>
      <w:r w:rsidRPr="005D26E9">
        <w:t>Links</w:t>
      </w:r>
    </w:p>
    <w:p w:rsidR="00000000" w:rsidRPr="005D26E9" w:rsidP="00EA7678">
      <w:pPr>
        <w:pStyle w:val="BodyText"/>
      </w:pPr>
      <w:r w:rsidRPr="005D26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B751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D26E9" w:rsidP="005D26E9"/>
    <w:sectPr w:rsidSect="005D26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E9" w:rsidRPr="00EA7678" w:rsidP="00EA76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78" w:rsidP="005D26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7678" w:rsidP="005D26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A7678" w:rsidP="005D26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6E9" w:rsidRPr="00EA7678" w:rsidP="00EA76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78" w:rsidRPr="002D2AF8" w:rsidP="005D26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TLIP5025 Set and achieve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A7678" w:rsidP="005D26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ECB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A2D4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6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6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6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6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6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6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6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6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6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6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6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6E9"/>
  </w:style>
  <w:style w:type="character" w:customStyle="1" w:styleId="Heading1Char">
    <w:name w:val="Heading 1 Char"/>
    <w:basedOn w:val="DefaultParagraphFont"/>
    <w:link w:val="Heading1"/>
    <w:rsid w:val="005D26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6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6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26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26E9"/>
    <w:rPr>
      <w:b/>
      <w:spacing w:val="0"/>
    </w:rPr>
  </w:style>
  <w:style w:type="paragraph" w:customStyle="1" w:styleId="SuperHeading">
    <w:name w:val="SuperHeading"/>
    <w:basedOn w:val="Normal"/>
    <w:rsid w:val="005D26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6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26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6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6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6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6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6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6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6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6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6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6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6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6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6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26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26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26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6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6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26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26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6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6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6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6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6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6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6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6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26E9"/>
    <w:rPr>
      <w:i/>
    </w:rPr>
  </w:style>
  <w:style w:type="paragraph" w:styleId="Caption">
    <w:name w:val="caption"/>
    <w:basedOn w:val="BodyText"/>
    <w:next w:val="Normal"/>
    <w:qFormat/>
    <w:rsid w:val="005D26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6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6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6E9"/>
  </w:style>
  <w:style w:type="paragraph" w:styleId="TableofFigures">
    <w:name w:val="table of figures"/>
    <w:basedOn w:val="Normal"/>
    <w:next w:val="Normal"/>
    <w:semiHidden/>
    <w:rsid w:val="005D26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6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26E9"/>
    <w:rPr>
      <w:rFonts w:ascii="Wingdings" w:hAnsi="Wingdings"/>
    </w:rPr>
  </w:style>
  <w:style w:type="paragraph" w:customStyle="1" w:styleId="TableHeading">
    <w:name w:val="Table Heading"/>
    <w:basedOn w:val="HeadingBase"/>
    <w:rsid w:val="005D26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6E9"/>
    <w:rPr>
      <w:color w:val="0033CC"/>
      <w:u w:val="none"/>
    </w:rPr>
  </w:style>
  <w:style w:type="paragraph" w:customStyle="1" w:styleId="BodyTextRight">
    <w:name w:val="Body Text Right"/>
    <w:basedOn w:val="BodyText"/>
    <w:rsid w:val="005D26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6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6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6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6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6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6E9"/>
    <w:rPr>
      <w:sz w:val="32"/>
    </w:rPr>
  </w:style>
  <w:style w:type="paragraph" w:customStyle="1" w:styleId="HeadingProcedure">
    <w:name w:val="Heading Procedure"/>
    <w:basedOn w:val="HeadingBase"/>
    <w:next w:val="Normal"/>
    <w:rsid w:val="005D26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6E9"/>
    <w:pPr>
      <w:spacing w:before="60" w:after="60"/>
    </w:pPr>
  </w:style>
  <w:style w:type="paragraph" w:styleId="ListContinue">
    <w:name w:val="List Continue"/>
    <w:basedOn w:val="List"/>
    <w:rsid w:val="005D26E9"/>
    <w:pPr>
      <w:ind w:firstLine="0"/>
    </w:pPr>
  </w:style>
  <w:style w:type="paragraph" w:customStyle="1" w:styleId="ListNote">
    <w:name w:val="List Note"/>
    <w:basedOn w:val="List"/>
    <w:rsid w:val="005D26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6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6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6E9"/>
    <w:rPr>
      <w:rFonts w:ascii="Courier New" w:hAnsi="Courier New"/>
    </w:rPr>
  </w:style>
  <w:style w:type="paragraph" w:customStyle="1" w:styleId="NoteBullet">
    <w:name w:val="Note Bullet"/>
    <w:basedOn w:val="Note"/>
    <w:rsid w:val="005D26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6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6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6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6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26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6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6E9"/>
    <w:rPr>
      <w:b/>
      <w:smallCaps/>
    </w:rPr>
  </w:style>
  <w:style w:type="paragraph" w:customStyle="1" w:styleId="TableListNumber">
    <w:name w:val="Table List Number"/>
    <w:basedOn w:val="ListNumber"/>
    <w:rsid w:val="005D26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6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6E9"/>
    <w:pPr>
      <w:numPr>
        <w:numId w:val="8"/>
      </w:numPr>
    </w:pPr>
  </w:style>
  <w:style w:type="paragraph" w:customStyle="1" w:styleId="ListAlpha2">
    <w:name w:val="List Alpha 2"/>
    <w:basedOn w:val="List2"/>
    <w:rsid w:val="005D26E9"/>
    <w:pPr>
      <w:numPr>
        <w:numId w:val="7"/>
      </w:numPr>
    </w:pPr>
  </w:style>
  <w:style w:type="paragraph" w:styleId="List2">
    <w:name w:val="List 2"/>
    <w:basedOn w:val="BodyText"/>
    <w:rsid w:val="005D26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6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6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6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6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6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26E9"/>
    <w:pPr>
      <w:numPr>
        <w:numId w:val="3"/>
      </w:numPr>
    </w:pPr>
  </w:style>
  <w:style w:type="paragraph" w:styleId="ListContinue2">
    <w:name w:val="List Continue 2"/>
    <w:basedOn w:val="List2"/>
    <w:rsid w:val="005D26E9"/>
    <w:pPr>
      <w:ind w:firstLine="0"/>
    </w:pPr>
  </w:style>
  <w:style w:type="paragraph" w:styleId="ListContinue3">
    <w:name w:val="List Continue 3"/>
    <w:basedOn w:val="List3"/>
    <w:rsid w:val="005D26E9"/>
    <w:pPr>
      <w:ind w:left="1021" w:firstLine="0"/>
    </w:pPr>
  </w:style>
  <w:style w:type="paragraph" w:styleId="ListContinue4">
    <w:name w:val="List Continue 4"/>
    <w:basedOn w:val="List4"/>
    <w:rsid w:val="005D26E9"/>
    <w:pPr>
      <w:ind w:firstLine="0"/>
    </w:pPr>
  </w:style>
  <w:style w:type="paragraph" w:styleId="ListContinue5">
    <w:name w:val="List Continue 5"/>
    <w:basedOn w:val="List5"/>
    <w:rsid w:val="005D26E9"/>
    <w:pPr>
      <w:ind w:firstLine="0"/>
    </w:pPr>
  </w:style>
  <w:style w:type="paragraph" w:styleId="ListNumber3">
    <w:name w:val="List Number 3"/>
    <w:basedOn w:val="List3"/>
    <w:rsid w:val="005D26E9"/>
    <w:pPr>
      <w:numPr>
        <w:numId w:val="4"/>
      </w:numPr>
    </w:pPr>
  </w:style>
  <w:style w:type="paragraph" w:styleId="ListNumber4">
    <w:name w:val="List Number 4"/>
    <w:basedOn w:val="List4"/>
    <w:rsid w:val="005D26E9"/>
    <w:pPr>
      <w:numPr>
        <w:numId w:val="5"/>
      </w:numPr>
    </w:pPr>
  </w:style>
  <w:style w:type="paragraph" w:styleId="ListNumber5">
    <w:name w:val="List Number 5"/>
    <w:basedOn w:val="List5"/>
    <w:rsid w:val="005D26E9"/>
    <w:pPr>
      <w:numPr>
        <w:numId w:val="6"/>
      </w:numPr>
    </w:pPr>
  </w:style>
  <w:style w:type="paragraph" w:styleId="BlockText">
    <w:name w:val="Block Text"/>
    <w:basedOn w:val="Normal"/>
    <w:rsid w:val="005D26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6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6E9"/>
    <w:rPr>
      <w:sz w:val="16"/>
      <w:vertAlign w:val="superscript"/>
    </w:rPr>
  </w:style>
  <w:style w:type="character" w:customStyle="1" w:styleId="Symbols">
    <w:name w:val="Symbols"/>
    <w:basedOn w:val="DefaultParagraphFont"/>
    <w:rsid w:val="005D26E9"/>
    <w:rPr>
      <w:rFonts w:ascii="Symbol" w:hAnsi="Symbol"/>
    </w:rPr>
  </w:style>
  <w:style w:type="character" w:customStyle="1" w:styleId="MenuOptions">
    <w:name w:val="Menu Options"/>
    <w:basedOn w:val="DefaultParagraphFont"/>
    <w:rsid w:val="005D26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6E9"/>
    <w:rPr>
      <w:b/>
    </w:rPr>
  </w:style>
  <w:style w:type="character" w:customStyle="1" w:styleId="Underlined">
    <w:name w:val="Underlined"/>
    <w:basedOn w:val="DefaultParagraphFont"/>
    <w:rsid w:val="005D26E9"/>
    <w:rPr>
      <w:u w:val="single"/>
    </w:rPr>
  </w:style>
  <w:style w:type="paragraph" w:customStyle="1" w:styleId="TableBodyTextRight">
    <w:name w:val="Table Body Text Right"/>
    <w:basedOn w:val="TableBodyText"/>
    <w:rsid w:val="005D26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6E9"/>
    <w:rPr>
      <w:sz w:val="18"/>
    </w:rPr>
  </w:style>
  <w:style w:type="paragraph" w:customStyle="1" w:styleId="BodySmallRight">
    <w:name w:val="Body Small Right"/>
    <w:basedOn w:val="BodyTextRight"/>
    <w:rsid w:val="005D26E9"/>
    <w:rPr>
      <w:sz w:val="18"/>
      <w:szCs w:val="18"/>
    </w:rPr>
  </w:style>
  <w:style w:type="paragraph" w:customStyle="1" w:styleId="MarginEdition">
    <w:name w:val="Margin Edition"/>
    <w:basedOn w:val="MarginNote"/>
    <w:rsid w:val="005D26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6E9"/>
    <w:rPr>
      <w:sz w:val="2"/>
      <w:szCs w:val="2"/>
    </w:rPr>
  </w:style>
  <w:style w:type="character" w:customStyle="1" w:styleId="Small">
    <w:name w:val="Small"/>
    <w:basedOn w:val="DefaultParagraphFont"/>
    <w:rsid w:val="005D26E9"/>
    <w:rPr>
      <w:sz w:val="16"/>
    </w:rPr>
  </w:style>
  <w:style w:type="paragraph" w:customStyle="1" w:styleId="WideTable">
    <w:name w:val="Wide Table"/>
    <w:basedOn w:val="Normal"/>
    <w:rsid w:val="005D26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6E9"/>
  </w:style>
  <w:style w:type="paragraph" w:styleId="Quote">
    <w:name w:val="Quote"/>
    <w:basedOn w:val="Heading1"/>
    <w:link w:val="QuoteChar"/>
    <w:qFormat/>
    <w:rsid w:val="005D26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6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6E9"/>
    <w:pPr>
      <w:pageBreakBefore/>
    </w:pPr>
  </w:style>
  <w:style w:type="paragraph" w:customStyle="1" w:styleId="Border">
    <w:name w:val="Border"/>
    <w:basedOn w:val="Normal"/>
    <w:qFormat/>
    <w:rsid w:val="005D26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6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6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6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6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6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6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6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6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6E9"/>
    <w:rPr>
      <w:u w:val="single"/>
    </w:rPr>
  </w:style>
  <w:style w:type="character" w:customStyle="1" w:styleId="BoldandItalics">
    <w:name w:val="Bold and Italics"/>
    <w:qFormat/>
    <w:rsid w:val="005D26E9"/>
    <w:rPr>
      <w:b/>
      <w:i/>
      <w:u w:val="none"/>
    </w:rPr>
  </w:style>
  <w:style w:type="paragraph" w:styleId="BalloonText">
    <w:name w:val="Balloon Text"/>
    <w:basedOn w:val="Normal"/>
    <w:link w:val="BalloonTextChar"/>
    <w:rsid w:val="005D2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6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6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6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6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6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6E9"/>
    <w:pPr>
      <w:spacing w:before="0" w:after="0"/>
    </w:pPr>
  </w:style>
  <w:style w:type="paragraph" w:customStyle="1" w:styleId="BodyTextBold">
    <w:name w:val="Body Text Bold"/>
    <w:basedOn w:val="BodyText"/>
    <w:qFormat/>
    <w:rsid w:val="005D26E9"/>
    <w:rPr>
      <w:b/>
    </w:rPr>
  </w:style>
  <w:style w:type="character" w:styleId="Hyperlink">
    <w:name w:val="Hyperlink"/>
    <w:basedOn w:val="DefaultParagraphFont"/>
    <w:uiPriority w:val="99"/>
    <w:unhideWhenUsed/>
    <w:rsid w:val="00EA76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3393</Characters>
  <Application>Microsoft Office Word</Application>
  <DocSecurity>0</DocSecurity>
  <Lines>147</Lines>
  <Paragraphs>82</Paragraphs>
  <ScaleCrop>false</ScaleCrop>
  <Company>Author-it Software Corporation Ltd.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TLIP5025 Set and achieve budgets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