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5A2" w:rsidP="00011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TLIP5006 Establish international distribution networks</w:t>
      </w:r>
      <w:r>
        <w:fldChar w:fldCharType="end"/>
      </w:r>
    </w:p>
    <w:p w:rsidR="000115A2" w:rsidP="000115A2">
      <w:pPr>
        <w:pStyle w:val="Version"/>
        <w:sectPr w:rsidSect="008D4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BFB" w:rsidP="008D4BFB">
      <w:pPr>
        <w:pStyle w:val="SuperHeading"/>
      </w:pPr>
      <w:r w:rsidRPr="008D4BFB">
        <w:t>TLIP5006 Establish international distribution networks</w:t>
      </w:r>
    </w:p>
    <w:p w:rsidR="00000000" w:rsidRPr="008D4BFB" w:rsidP="008D4BFB">
      <w:pPr>
        <w:pStyle w:val="Heading1"/>
      </w:pPr>
      <w:bookmarkStart w:id="1" w:name="O_741601"/>
      <w:bookmarkEnd w:id="1"/>
      <w:r w:rsidRPr="008D4BFB">
        <w:t>Modification History</w:t>
      </w:r>
    </w:p>
    <w:p w:rsidR="000115A2" w:rsidP="000115A2">
      <w:pPr>
        <w:pStyle w:val="BodyText"/>
      </w:pPr>
      <w:r w:rsidRPr="008D4BFB">
        <w:t>Release 1. This is the first release of this unit of competency in the TLI Transport and Logistics Training Package.</w:t>
      </w:r>
    </w:p>
    <w:p w:rsidR="00000000" w:rsidRPr="008D4BFB" w:rsidP="008D4BFB">
      <w:pPr>
        <w:pStyle w:val="Heading1"/>
      </w:pPr>
      <w:bookmarkStart w:id="2" w:name="O_741602"/>
      <w:bookmarkEnd w:id="2"/>
      <w:r w:rsidRPr="008D4BFB">
        <w:t>Application</w:t>
      </w:r>
    </w:p>
    <w:p w:rsidR="00000000" w:rsidRPr="008D4BFB" w:rsidP="000115A2">
      <w:pPr>
        <w:pStyle w:val="BodyText"/>
      </w:pPr>
      <w:r w:rsidRPr="008D4BFB">
        <w:t>This unit involves the skills and knowledge required to establish intern</w:t>
      </w:r>
      <w:r w:rsidRPr="008D4BFB">
        <w:t>ational distribution networks, in accordance with the relevant Australian and international regulations, standards, codes of practice and workplace procedures.</w:t>
      </w:r>
    </w:p>
    <w:p w:rsidR="00000000" w:rsidRPr="008D4BFB" w:rsidP="000115A2">
      <w:pPr>
        <w:pStyle w:val="BodyText"/>
      </w:pPr>
      <w:r w:rsidRPr="008D4BFB">
        <w:t>It includes sourcing potential networks, establishing potential service provider profiles and co</w:t>
      </w:r>
      <w:r w:rsidRPr="008D4BFB">
        <w:t>ntracting suitable service providers.</w:t>
      </w:r>
    </w:p>
    <w:p w:rsidR="00000000" w:rsidRPr="008D4BFB" w:rsidP="000115A2">
      <w:pPr>
        <w:pStyle w:val="BodyText"/>
      </w:pPr>
      <w:r w:rsidRPr="008D4BFB">
        <w:t>Work is under general guidance on progress and outcomes. It requires discretion and judgement for self and others in planning and using resources, services and processes to achieve required outcomes.</w:t>
      </w:r>
    </w:p>
    <w:p w:rsidR="00000000" w:rsidRPr="008D4BFB" w:rsidP="000115A2">
      <w:pPr>
        <w:pStyle w:val="BodyText"/>
      </w:pPr>
      <w:r w:rsidRPr="008D4BFB">
        <w:t>The unit generally</w:t>
      </w:r>
      <w:r w:rsidRPr="008D4BFB">
        <w:t xml:space="preserve"> applies to those with responsibility for resource coordination and allocation, and who lead individuals or teams.</w:t>
      </w:r>
    </w:p>
    <w:p w:rsidR="000115A2" w:rsidP="000115A2">
      <w:pPr>
        <w:pStyle w:val="BodyText"/>
      </w:pPr>
      <w:r w:rsidRPr="008D4BFB">
        <w:t>No licensing, legislative or certification requirements apply to this unit at the time of publication.</w:t>
      </w:r>
    </w:p>
    <w:p w:rsidR="00000000" w:rsidRPr="008D4BFB" w:rsidP="008D4BFB">
      <w:pPr>
        <w:pStyle w:val="Heading1"/>
      </w:pPr>
      <w:bookmarkStart w:id="3" w:name="O_741603"/>
      <w:bookmarkEnd w:id="3"/>
      <w:r w:rsidRPr="008D4BFB">
        <w:t>Pre-requisite Unit</w:t>
      </w:r>
    </w:p>
    <w:p w:rsidR="00000000" w:rsidRPr="008D4BFB" w:rsidP="000115A2">
      <w:pPr>
        <w:pStyle w:val="BodyText"/>
      </w:pPr>
      <w:r w:rsidRPr="008D4BFB">
        <w:t>N</w:t>
      </w:r>
      <w:r w:rsidRPr="008D4BFB">
        <w:t>ot applicable.</w:t>
      </w:r>
    </w:p>
    <w:p w:rsidR="00000000" w:rsidRPr="008D4BFB" w:rsidP="008D4BFB">
      <w:pPr>
        <w:pStyle w:val="Heading1"/>
      </w:pPr>
      <w:bookmarkStart w:id="4" w:name="O_741604"/>
      <w:bookmarkEnd w:id="4"/>
      <w:r w:rsidRPr="008D4BFB">
        <w:t>Competency Field</w:t>
      </w:r>
    </w:p>
    <w:p w:rsidR="00000000" w:rsidRPr="008D4BFB" w:rsidP="000115A2">
      <w:pPr>
        <w:pStyle w:val="BodyText"/>
      </w:pPr>
      <w:r w:rsidRPr="008D4BFB">
        <w:t>P ‒ Administration and Finance</w:t>
      </w:r>
    </w:p>
    <w:p w:rsidR="00000000" w:rsidRPr="008D4BFB" w:rsidP="008D4BFB">
      <w:pPr>
        <w:pStyle w:val="Heading1"/>
      </w:pPr>
      <w:bookmarkStart w:id="5" w:name="O_741605"/>
      <w:bookmarkEnd w:id="5"/>
      <w:r w:rsidRPr="008D4BFB">
        <w:t>Unit Sector</w:t>
      </w:r>
    </w:p>
    <w:p w:rsidR="00000000" w:rsidRPr="008D4BFB" w:rsidP="000115A2">
      <w:pPr>
        <w:pStyle w:val="BodyText"/>
      </w:pPr>
      <w:r w:rsidRPr="008D4BFB">
        <w:t>Not applicable.</w:t>
      </w:r>
    </w:p>
    <w:p w:rsidR="00000000" w:rsidRPr="008D4BFB" w:rsidP="008D4BFB">
      <w:pPr>
        <w:pStyle w:val="Heading1"/>
      </w:pPr>
      <w:bookmarkStart w:id="6" w:name="O_741606"/>
      <w:bookmarkEnd w:id="6"/>
      <w:r w:rsidRPr="008D4B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FB" w:rsidP="008D4BFB">
            <w:pPr>
              <w:pStyle w:val="BodyText"/>
            </w:pPr>
            <w:r w:rsidRPr="008D4BF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rPr>
                <w:rStyle w:val="SpecialBold"/>
              </w:rPr>
              <w:t>PERFORMANCE CRITERIA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Performance criteria describe the performance needed to demonstrate achievement of the element.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FB" w:rsidP="008D4BFB">
            <w:pPr>
              <w:pStyle w:val="BodyText"/>
            </w:pPr>
            <w:r w:rsidRPr="008D4BF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rPr>
                <w:rStyle w:val="SpecialBold"/>
              </w:rPr>
              <w:t>Source potential networks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Current and required future enterprise distribution networks are identified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Potential agents, capable of servicing curr</w:t>
            </w:r>
            <w:r w:rsidRPr="008D4BFB">
              <w:t>ent or potential operations, are identified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Initial contact is undertaken with potential service providers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Information is sourced from potential service agents regarding their capacity, capability and viability to meet identified operations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FB" w:rsidP="008D4BFB">
            <w:pPr>
              <w:pStyle w:val="BodyText"/>
            </w:pPr>
            <w:r w:rsidRPr="008D4BF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rPr>
                <w:rStyle w:val="SpecialBold"/>
              </w:rPr>
              <w:t>Establish potential service provider profiles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Distributor contact details, scope of operation/s, costs and service standards are evaluated and documented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 xml:space="preserve">Potential service provider technostructures and infrastructures </w:t>
            </w:r>
            <w:r w:rsidRPr="008D4BFB">
              <w:t>are assessed, including the system/s compatibility with own operations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Potential service provider current credit ratings are established in accordance with enterprise procedures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Security procedures for potential service providers are establis</w:t>
            </w:r>
            <w:r w:rsidRPr="008D4BFB">
              <w:t>hed in accordance with workplace requirements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FB" w:rsidP="008D4BFB">
            <w:pPr>
              <w:pStyle w:val="BodyText"/>
            </w:pPr>
            <w:r w:rsidRPr="008D4BF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rPr>
                <w:rStyle w:val="SpecialBold"/>
              </w:rPr>
              <w:t>Contract service providers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Terms of operation and performance standards are negotiated with selected service providers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Contracts are completed with selected service provider/s within scope of authority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Service provider performance is monitored against identified targets within the contract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Contract variances are renegotiated in accordance with statutory requirements and changes within the international and local trading environments</w:t>
            </w:r>
          </w:p>
        </w:tc>
      </w:tr>
      <w:tr w:rsidTr="000115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FB">
            <w:pPr>
              <w:pStyle w:val="BodyText"/>
              <w:rPr>
                <w:lang w:val="en-NZ"/>
              </w:rPr>
            </w:pPr>
            <w:r w:rsidRPr="008D4BF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FB" w:rsidP="008D4BFB">
            <w:pPr>
              <w:pStyle w:val="BodyText"/>
            </w:pPr>
            <w:r w:rsidRPr="008D4BFB">
              <w:t>Contracts and ancillary documentation are stored in accordance with enterprise and regulatory requireme</w:t>
            </w:r>
            <w:r w:rsidRPr="008D4BFB">
              <w:t>nts</w:t>
            </w:r>
          </w:p>
        </w:tc>
      </w:tr>
    </w:tbl>
    <w:p w:rsidR="000115A2" w:rsidP="008D4BFB">
      <w:pPr>
        <w:pStyle w:val="BodyText"/>
      </w:pPr>
    </w:p>
    <w:p w:rsidR="000115A2" w:rsidP="008D4BFB">
      <w:pPr>
        <w:pStyle w:val="BodyText"/>
      </w:pPr>
    </w:p>
    <w:p w:rsidR="00000000" w:rsidRPr="008D4BFB" w:rsidP="008D4BFB">
      <w:pPr>
        <w:pStyle w:val="Heading1"/>
      </w:pPr>
      <w:bookmarkStart w:id="7" w:name="O_741607"/>
      <w:bookmarkEnd w:id="7"/>
      <w:r w:rsidRPr="008D4BFB">
        <w:t>Foundation Skills</w:t>
      </w:r>
    </w:p>
    <w:p w:rsidR="00000000" w:rsidRPr="008D4BFB" w:rsidP="000115A2">
      <w:pPr>
        <w:pStyle w:val="BodyText"/>
      </w:pPr>
      <w:r w:rsidRPr="008D4BFB">
        <w:t>Foundation skills essential to performance are explicit in the performance criteria of this unit of competency.</w:t>
      </w:r>
    </w:p>
    <w:p w:rsidR="00000000" w:rsidRPr="008D4BFB" w:rsidP="008D4BFB">
      <w:pPr>
        <w:pStyle w:val="Heading1"/>
      </w:pPr>
      <w:bookmarkStart w:id="8" w:name="O_741608"/>
      <w:bookmarkEnd w:id="8"/>
      <w:r w:rsidRPr="008D4BFB">
        <w:t>Range of Conditions</w:t>
      </w:r>
    </w:p>
    <w:p w:rsidR="00000000" w:rsidRPr="008D4BFB" w:rsidP="000115A2">
      <w:pPr>
        <w:pStyle w:val="BodyText"/>
      </w:pPr>
      <w:r w:rsidRPr="008D4BFB">
        <w:t>Range is restricted to essential operating conditions and any oth</w:t>
      </w:r>
      <w:r w:rsidRPr="008D4BFB">
        <w:t>er variables essential to the work environment.</w:t>
      </w:r>
    </w:p>
    <w:p w:rsidR="000115A2" w:rsidP="000115A2">
      <w:pPr>
        <w:pStyle w:val="BodyText"/>
      </w:pPr>
      <w:r w:rsidRPr="008D4BFB">
        <w:t>Non-essential conditions can be found in the Companion Volume Implementation Guide.</w:t>
      </w:r>
    </w:p>
    <w:p w:rsidR="00000000" w:rsidRPr="008D4BFB" w:rsidP="008D4BFB">
      <w:pPr>
        <w:pStyle w:val="Heading1"/>
      </w:pPr>
      <w:bookmarkStart w:id="9" w:name="O_741609"/>
      <w:bookmarkEnd w:id="9"/>
      <w:r w:rsidRPr="008D4BFB">
        <w:t>Unit Mapping Information</w:t>
      </w:r>
    </w:p>
    <w:p w:rsidR="00000000" w:rsidRPr="008D4BFB" w:rsidP="000115A2">
      <w:pPr>
        <w:pStyle w:val="BodyText"/>
      </w:pPr>
      <w:r w:rsidRPr="008D4BFB">
        <w:t>This unit replaces and is equivalent to TLIP5006A Establish international distribution networks.</w:t>
      </w:r>
    </w:p>
    <w:p w:rsidR="00000000" w:rsidRPr="008D4BFB" w:rsidP="008D4BFB">
      <w:pPr>
        <w:pStyle w:val="Heading1"/>
      </w:pPr>
      <w:bookmarkStart w:id="10" w:name="O_741616"/>
      <w:bookmarkEnd w:id="10"/>
      <w:r w:rsidRPr="008D4BFB">
        <w:t>Links</w:t>
      </w:r>
    </w:p>
    <w:p w:rsidR="00000000" w:rsidRPr="008D4BFB" w:rsidP="000115A2">
      <w:pPr>
        <w:pStyle w:val="BodyText"/>
      </w:pPr>
      <w:r w:rsidRPr="008D4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600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4BFB" w:rsidP="008D4BFB"/>
    <w:sectPr w:rsidSect="008D4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FB" w:rsidRPr="000115A2" w:rsidP="00011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A2" w:rsidP="008D4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5A2" w:rsidP="008D4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15A2" w:rsidP="008D4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BFB" w:rsidRPr="000115A2" w:rsidP="00011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A2" w:rsidRPr="002D2AF8" w:rsidP="008D4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TLIP5006 Establish international distribution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115A2" w:rsidP="008D4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BFB"/>
  </w:style>
  <w:style w:type="character" w:customStyle="1" w:styleId="Heading1Char">
    <w:name w:val="Heading 1 Char"/>
    <w:basedOn w:val="DefaultParagraphFont"/>
    <w:link w:val="Heading1"/>
    <w:rsid w:val="008D4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B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4BFB"/>
    <w:rPr>
      <w:b/>
      <w:spacing w:val="0"/>
    </w:rPr>
  </w:style>
  <w:style w:type="paragraph" w:customStyle="1" w:styleId="SuperHeading">
    <w:name w:val="SuperHeading"/>
    <w:basedOn w:val="Normal"/>
    <w:rsid w:val="008D4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B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B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BFB"/>
    <w:rPr>
      <w:i/>
    </w:rPr>
  </w:style>
  <w:style w:type="paragraph" w:styleId="Caption">
    <w:name w:val="caption"/>
    <w:basedOn w:val="BodyText"/>
    <w:next w:val="Normal"/>
    <w:qFormat/>
    <w:rsid w:val="008D4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BFB"/>
  </w:style>
  <w:style w:type="paragraph" w:styleId="TableofFigures">
    <w:name w:val="table of figures"/>
    <w:basedOn w:val="Normal"/>
    <w:next w:val="Normal"/>
    <w:semiHidden/>
    <w:rsid w:val="008D4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B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4BFB"/>
    <w:rPr>
      <w:rFonts w:ascii="Wingdings" w:hAnsi="Wingdings"/>
    </w:rPr>
  </w:style>
  <w:style w:type="paragraph" w:customStyle="1" w:styleId="TableHeading">
    <w:name w:val="Table Heading"/>
    <w:basedOn w:val="HeadingBase"/>
    <w:rsid w:val="008D4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BFB"/>
    <w:rPr>
      <w:color w:val="0033CC"/>
      <w:u w:val="none"/>
    </w:rPr>
  </w:style>
  <w:style w:type="paragraph" w:customStyle="1" w:styleId="BodyTextRight">
    <w:name w:val="Body Text Right"/>
    <w:basedOn w:val="BodyText"/>
    <w:rsid w:val="008D4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B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BFB"/>
    <w:rPr>
      <w:sz w:val="32"/>
    </w:rPr>
  </w:style>
  <w:style w:type="paragraph" w:customStyle="1" w:styleId="HeadingProcedure">
    <w:name w:val="Heading Procedure"/>
    <w:basedOn w:val="HeadingBase"/>
    <w:next w:val="Normal"/>
    <w:rsid w:val="008D4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BFB"/>
    <w:pPr>
      <w:spacing w:before="60" w:after="60"/>
    </w:pPr>
  </w:style>
  <w:style w:type="paragraph" w:styleId="ListContinue">
    <w:name w:val="List Continue"/>
    <w:basedOn w:val="List"/>
    <w:rsid w:val="008D4BFB"/>
    <w:pPr>
      <w:ind w:firstLine="0"/>
    </w:pPr>
  </w:style>
  <w:style w:type="paragraph" w:customStyle="1" w:styleId="ListNote">
    <w:name w:val="List Note"/>
    <w:basedOn w:val="List"/>
    <w:rsid w:val="008D4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BFB"/>
    <w:rPr>
      <w:rFonts w:ascii="Courier New" w:hAnsi="Courier New"/>
    </w:rPr>
  </w:style>
  <w:style w:type="paragraph" w:customStyle="1" w:styleId="NoteBullet">
    <w:name w:val="Note Bullet"/>
    <w:basedOn w:val="Note"/>
    <w:rsid w:val="008D4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B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4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BFB"/>
    <w:rPr>
      <w:b/>
      <w:smallCaps/>
    </w:rPr>
  </w:style>
  <w:style w:type="paragraph" w:customStyle="1" w:styleId="TableListNumber">
    <w:name w:val="Table List Number"/>
    <w:basedOn w:val="ListNumber"/>
    <w:rsid w:val="008D4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BFB"/>
    <w:pPr>
      <w:numPr>
        <w:numId w:val="7"/>
      </w:numPr>
    </w:pPr>
  </w:style>
  <w:style w:type="paragraph" w:customStyle="1" w:styleId="ListAlpha2">
    <w:name w:val="List Alpha 2"/>
    <w:basedOn w:val="List2"/>
    <w:rsid w:val="008D4BFB"/>
    <w:pPr>
      <w:numPr>
        <w:numId w:val="6"/>
      </w:numPr>
    </w:pPr>
  </w:style>
  <w:style w:type="paragraph" w:styleId="List2">
    <w:name w:val="List 2"/>
    <w:basedOn w:val="BodyText"/>
    <w:rsid w:val="008D4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B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B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4BFB"/>
    <w:pPr>
      <w:numPr>
        <w:numId w:val="2"/>
      </w:numPr>
    </w:pPr>
  </w:style>
  <w:style w:type="paragraph" w:styleId="ListContinue2">
    <w:name w:val="List Continue 2"/>
    <w:basedOn w:val="List2"/>
    <w:rsid w:val="008D4BFB"/>
    <w:pPr>
      <w:ind w:firstLine="0"/>
    </w:pPr>
  </w:style>
  <w:style w:type="paragraph" w:styleId="ListContinue3">
    <w:name w:val="List Continue 3"/>
    <w:basedOn w:val="List3"/>
    <w:rsid w:val="008D4BFB"/>
    <w:pPr>
      <w:ind w:left="1021" w:firstLine="0"/>
    </w:pPr>
  </w:style>
  <w:style w:type="paragraph" w:styleId="ListContinue4">
    <w:name w:val="List Continue 4"/>
    <w:basedOn w:val="List4"/>
    <w:rsid w:val="008D4BFB"/>
    <w:pPr>
      <w:ind w:firstLine="0"/>
    </w:pPr>
  </w:style>
  <w:style w:type="paragraph" w:styleId="ListContinue5">
    <w:name w:val="List Continue 5"/>
    <w:basedOn w:val="List5"/>
    <w:rsid w:val="008D4BFB"/>
    <w:pPr>
      <w:ind w:firstLine="0"/>
    </w:pPr>
  </w:style>
  <w:style w:type="paragraph" w:styleId="ListNumber3">
    <w:name w:val="List Number 3"/>
    <w:basedOn w:val="List3"/>
    <w:rsid w:val="008D4BFB"/>
    <w:pPr>
      <w:numPr>
        <w:numId w:val="3"/>
      </w:numPr>
    </w:pPr>
  </w:style>
  <w:style w:type="paragraph" w:styleId="ListNumber4">
    <w:name w:val="List Number 4"/>
    <w:basedOn w:val="List4"/>
    <w:rsid w:val="008D4BFB"/>
    <w:pPr>
      <w:numPr>
        <w:numId w:val="4"/>
      </w:numPr>
    </w:pPr>
  </w:style>
  <w:style w:type="paragraph" w:styleId="ListNumber5">
    <w:name w:val="List Number 5"/>
    <w:basedOn w:val="List5"/>
    <w:rsid w:val="008D4BFB"/>
    <w:pPr>
      <w:numPr>
        <w:numId w:val="5"/>
      </w:numPr>
    </w:pPr>
  </w:style>
  <w:style w:type="paragraph" w:styleId="BlockText">
    <w:name w:val="Block Text"/>
    <w:basedOn w:val="Normal"/>
    <w:rsid w:val="008D4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BFB"/>
    <w:rPr>
      <w:sz w:val="16"/>
      <w:vertAlign w:val="superscript"/>
    </w:rPr>
  </w:style>
  <w:style w:type="character" w:customStyle="1" w:styleId="Symbols">
    <w:name w:val="Symbols"/>
    <w:basedOn w:val="DefaultParagraphFont"/>
    <w:rsid w:val="008D4BFB"/>
    <w:rPr>
      <w:rFonts w:ascii="Symbol" w:hAnsi="Symbol"/>
    </w:rPr>
  </w:style>
  <w:style w:type="character" w:customStyle="1" w:styleId="MenuOptions">
    <w:name w:val="Menu Options"/>
    <w:basedOn w:val="DefaultParagraphFont"/>
    <w:rsid w:val="008D4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BFB"/>
    <w:rPr>
      <w:b/>
    </w:rPr>
  </w:style>
  <w:style w:type="character" w:customStyle="1" w:styleId="Underlined">
    <w:name w:val="Underlined"/>
    <w:basedOn w:val="DefaultParagraphFont"/>
    <w:rsid w:val="008D4BFB"/>
    <w:rPr>
      <w:u w:val="single"/>
    </w:rPr>
  </w:style>
  <w:style w:type="paragraph" w:customStyle="1" w:styleId="TableBodyTextRight">
    <w:name w:val="Table Body Text Right"/>
    <w:basedOn w:val="TableBodyText"/>
    <w:rsid w:val="008D4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BFB"/>
    <w:rPr>
      <w:sz w:val="18"/>
    </w:rPr>
  </w:style>
  <w:style w:type="paragraph" w:customStyle="1" w:styleId="BodySmallRight">
    <w:name w:val="Body Small Right"/>
    <w:basedOn w:val="BodyTextRight"/>
    <w:rsid w:val="008D4BFB"/>
    <w:rPr>
      <w:sz w:val="18"/>
      <w:szCs w:val="18"/>
    </w:rPr>
  </w:style>
  <w:style w:type="paragraph" w:customStyle="1" w:styleId="MarginEdition">
    <w:name w:val="Margin Edition"/>
    <w:basedOn w:val="MarginNote"/>
    <w:rsid w:val="008D4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BFB"/>
    <w:rPr>
      <w:sz w:val="2"/>
      <w:szCs w:val="2"/>
    </w:rPr>
  </w:style>
  <w:style w:type="character" w:customStyle="1" w:styleId="Small">
    <w:name w:val="Small"/>
    <w:basedOn w:val="DefaultParagraphFont"/>
    <w:rsid w:val="008D4BFB"/>
    <w:rPr>
      <w:sz w:val="16"/>
    </w:rPr>
  </w:style>
  <w:style w:type="paragraph" w:customStyle="1" w:styleId="WideTable">
    <w:name w:val="Wide Table"/>
    <w:basedOn w:val="Normal"/>
    <w:rsid w:val="008D4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BFB"/>
  </w:style>
  <w:style w:type="paragraph" w:styleId="Quote">
    <w:name w:val="Quote"/>
    <w:basedOn w:val="Heading1"/>
    <w:link w:val="QuoteChar"/>
    <w:qFormat/>
    <w:rsid w:val="008D4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BFB"/>
    <w:pPr>
      <w:pageBreakBefore/>
    </w:pPr>
  </w:style>
  <w:style w:type="paragraph" w:customStyle="1" w:styleId="Border">
    <w:name w:val="Border"/>
    <w:basedOn w:val="Normal"/>
    <w:qFormat/>
    <w:rsid w:val="008D4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BFB"/>
    <w:rPr>
      <w:u w:val="single"/>
    </w:rPr>
  </w:style>
  <w:style w:type="character" w:customStyle="1" w:styleId="BoldandItalics">
    <w:name w:val="Bold and Italics"/>
    <w:qFormat/>
    <w:rsid w:val="008D4BFB"/>
    <w:rPr>
      <w:b/>
      <w:i/>
      <w:u w:val="none"/>
    </w:rPr>
  </w:style>
  <w:style w:type="paragraph" w:styleId="BalloonText">
    <w:name w:val="Balloon Text"/>
    <w:basedOn w:val="Normal"/>
    <w:link w:val="BalloonTextChar"/>
    <w:rsid w:val="008D4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BFB"/>
    <w:pPr>
      <w:spacing w:before="0" w:after="0"/>
    </w:pPr>
  </w:style>
  <w:style w:type="paragraph" w:customStyle="1" w:styleId="BodyTextBold">
    <w:name w:val="Body Text Bold"/>
    <w:basedOn w:val="BodyText"/>
    <w:qFormat/>
    <w:rsid w:val="008D4BFB"/>
    <w:rPr>
      <w:b/>
    </w:rPr>
  </w:style>
  <w:style w:type="character" w:styleId="Hyperlink">
    <w:name w:val="Hyperlink"/>
    <w:basedOn w:val="DefaultParagraphFont"/>
    <w:uiPriority w:val="99"/>
    <w:unhideWhenUsed/>
    <w:rsid w:val="00011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3235</Characters>
  <Application>Microsoft Office Word</Application>
  <DocSecurity>0</DocSecurity>
  <Lines>129</Lines>
  <Paragraphs>75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TLIP5006 Establish international distribution networks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