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2053" w:rsidP="007B20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TLIP4039 Monitor transport operations</w:t>
      </w:r>
      <w:r>
        <w:fldChar w:fldCharType="end"/>
      </w:r>
    </w:p>
    <w:p w:rsidR="007B2053" w:rsidP="007B2053">
      <w:pPr>
        <w:pStyle w:val="Version"/>
        <w:sectPr w:rsidSect="00B44B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4BAE" w:rsidP="00B44BAE">
      <w:pPr>
        <w:pStyle w:val="SuperHeading"/>
      </w:pPr>
      <w:r w:rsidRPr="00B44BAE">
        <w:t>TLIP4039 Monitor transport operations</w:t>
      </w:r>
    </w:p>
    <w:p w:rsidR="00000000" w:rsidRPr="00B44BAE" w:rsidP="00B44BAE">
      <w:pPr>
        <w:pStyle w:val="Heading1"/>
      </w:pPr>
      <w:bookmarkStart w:id="1" w:name="O_800025"/>
      <w:bookmarkEnd w:id="1"/>
      <w:r w:rsidRPr="00B44BAE">
        <w:t>Modification History</w:t>
      </w:r>
    </w:p>
    <w:p w:rsidR="007B2053" w:rsidP="007B2053">
      <w:pPr>
        <w:pStyle w:val="BodyText"/>
      </w:pPr>
      <w:r w:rsidRPr="00B44BAE">
        <w:t>Release 1. This is the first release of this unit of competency in the TLI Transport and Logistics Training Package.</w:t>
      </w:r>
    </w:p>
    <w:p w:rsidR="00000000" w:rsidRPr="00B44BAE" w:rsidP="00B44BAE">
      <w:pPr>
        <w:pStyle w:val="Heading1"/>
      </w:pPr>
      <w:bookmarkStart w:id="2" w:name="O_800026"/>
      <w:bookmarkEnd w:id="2"/>
      <w:r w:rsidRPr="00B44BAE">
        <w:t>Application</w:t>
      </w:r>
    </w:p>
    <w:p w:rsidR="00000000" w:rsidRPr="00B44BAE" w:rsidP="007B2053">
      <w:pPr>
        <w:pStyle w:val="BodyText"/>
      </w:pPr>
      <w:r w:rsidRPr="00B44BAE">
        <w:t xml:space="preserve">This unit involves the skills and knowledge required to monitor transport operations in </w:t>
      </w:r>
      <w:r w:rsidRPr="00B44BAE">
        <w:t xml:space="preserve">accordance with regulatory requirements and workplace policies and procedures in various contexts in the transport and logistics industry. </w:t>
      </w:r>
    </w:p>
    <w:p w:rsidR="00000000" w:rsidRPr="00B44BAE" w:rsidP="007B2053">
      <w:pPr>
        <w:pStyle w:val="BodyText"/>
      </w:pPr>
      <w:r w:rsidRPr="00B44BAE">
        <w:t>It includes determining transport requirements, monitoring unit loads and load building, examining security requirem</w:t>
      </w:r>
      <w:r w:rsidRPr="00B44BAE">
        <w:t xml:space="preserve">ents and analysing the costs of transport operations </w:t>
      </w:r>
    </w:p>
    <w:p w:rsidR="00000000" w:rsidRPr="00B44BAE" w:rsidP="007B2053">
      <w:pPr>
        <w:pStyle w:val="BodyText"/>
      </w:pPr>
      <w:r w:rsidRPr="00B44BAE">
        <w:t xml:space="preserve">Individuals work independently or as part of a team under direct and/or indirect supervision, use discretion and judgement, and take responsibility for the quality of their outputs. </w:t>
      </w:r>
    </w:p>
    <w:p w:rsidR="007B2053" w:rsidP="007B2053">
      <w:pPr>
        <w:pStyle w:val="BodyText"/>
      </w:pPr>
      <w:r w:rsidRPr="00B44BAE">
        <w:t>No licensing, legis</w:t>
      </w:r>
      <w:r w:rsidRPr="00B44BAE">
        <w:t>lative or certification requirements apply to this unit at the time of publication.</w:t>
      </w:r>
    </w:p>
    <w:p w:rsidR="00000000" w:rsidRPr="00B44BAE" w:rsidP="00B44BAE">
      <w:pPr>
        <w:pStyle w:val="Heading1"/>
      </w:pPr>
      <w:bookmarkStart w:id="3" w:name="O_800027"/>
      <w:bookmarkEnd w:id="3"/>
      <w:r w:rsidRPr="00B44BAE">
        <w:t>Pre-requisite Unit</w:t>
      </w:r>
    </w:p>
    <w:p w:rsidR="00000000" w:rsidRPr="00B44BAE" w:rsidP="007B2053">
      <w:pPr>
        <w:pStyle w:val="BodyText"/>
      </w:pPr>
      <w:r w:rsidRPr="00B44BAE">
        <w:t>Not applicable.</w:t>
      </w:r>
    </w:p>
    <w:p w:rsidR="00000000" w:rsidRPr="00B44BAE" w:rsidP="00B44BAE">
      <w:pPr>
        <w:pStyle w:val="Heading1"/>
      </w:pPr>
      <w:bookmarkStart w:id="4" w:name="O_800028"/>
      <w:bookmarkEnd w:id="4"/>
      <w:r w:rsidRPr="00B44BAE">
        <w:t>Competency Field</w:t>
      </w:r>
    </w:p>
    <w:p w:rsidR="007B2053" w:rsidP="007B2053">
      <w:pPr>
        <w:pStyle w:val="BodyText"/>
      </w:pPr>
      <w:r w:rsidRPr="00B44BAE">
        <w:t>P – Administration and Finance</w:t>
      </w:r>
    </w:p>
    <w:p w:rsidR="00000000" w:rsidRPr="00B44BAE" w:rsidP="00B44BAE">
      <w:pPr>
        <w:pStyle w:val="Heading1"/>
      </w:pPr>
      <w:bookmarkStart w:id="5" w:name="O_800029"/>
      <w:bookmarkEnd w:id="5"/>
      <w:r w:rsidRPr="00B44BAE">
        <w:t>Unit Sector</w:t>
      </w:r>
    </w:p>
    <w:p w:rsidR="007B2053" w:rsidP="007B2053">
      <w:pPr>
        <w:pStyle w:val="BodyText"/>
      </w:pPr>
      <w:r w:rsidRPr="00B44BAE">
        <w:t>Not applicable.</w:t>
      </w:r>
    </w:p>
    <w:p w:rsidR="00000000" w:rsidRPr="00B44BAE" w:rsidP="00B44BAE">
      <w:pPr>
        <w:pStyle w:val="Heading1"/>
      </w:pPr>
      <w:bookmarkStart w:id="6" w:name="O_800030"/>
      <w:bookmarkEnd w:id="6"/>
      <w:r w:rsidRPr="00B44BA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1"/>
        <w:gridCol w:w="552"/>
        <w:gridCol w:w="6542"/>
      </w:tblGrid>
      <w:tr w:rsidTr="007B20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BAE" w:rsidP="00B44BAE">
            <w:pPr>
              <w:pStyle w:val="BodyText"/>
            </w:pPr>
            <w:r w:rsidRPr="00B44BAE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AE">
            <w:pPr>
              <w:pStyle w:val="BodyText"/>
              <w:rPr>
                <w:lang w:val="en-NZ"/>
              </w:rPr>
            </w:pPr>
            <w:r w:rsidRPr="00B44BAE">
              <w:rPr>
                <w:rStyle w:val="SpecialBold"/>
              </w:rPr>
              <w:t>PERFORMANCE CRITERIA</w:t>
            </w:r>
          </w:p>
        </w:tc>
      </w:tr>
      <w:tr w:rsidTr="007B20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AE">
            <w:pPr>
              <w:pStyle w:val="BodyText"/>
              <w:rPr>
                <w:lang w:val="en-NZ"/>
              </w:rPr>
            </w:pPr>
            <w:r w:rsidRPr="00B44BAE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AE">
            <w:pPr>
              <w:pStyle w:val="BodyText"/>
              <w:rPr>
                <w:lang w:val="en-NZ"/>
              </w:rPr>
            </w:pPr>
            <w:r w:rsidRPr="00B44BAE">
              <w:t>Performance criteria describe the performance needed to demonstrate achievement of the element.</w:t>
            </w:r>
          </w:p>
        </w:tc>
      </w:tr>
      <w:tr w:rsidTr="007B20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BAE" w:rsidP="00B44BAE">
            <w:pPr>
              <w:pStyle w:val="BodyText"/>
            </w:pPr>
            <w:r w:rsidRPr="00B44BA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AE">
            <w:pPr>
              <w:pStyle w:val="BodyText"/>
              <w:rPr>
                <w:lang w:val="en-NZ"/>
              </w:rPr>
            </w:pPr>
            <w:r w:rsidRPr="00B44BAE">
              <w:rPr>
                <w:rStyle w:val="SpecialBold"/>
              </w:rPr>
              <w:t xml:space="preserve">Determine transport </w:t>
            </w:r>
            <w:r w:rsidRPr="00B44BAE">
              <w:rPr>
                <w:rStyle w:val="SpecialBold"/>
              </w:rPr>
              <w:t>requirements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AE">
            <w:pPr>
              <w:pStyle w:val="BodyText"/>
              <w:rPr>
                <w:lang w:val="en-NZ"/>
              </w:rPr>
            </w:pPr>
            <w:r w:rsidRPr="00B44BAE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AE">
            <w:pPr>
              <w:pStyle w:val="BodyText"/>
              <w:rPr>
                <w:lang w:val="en-NZ"/>
              </w:rPr>
            </w:pPr>
            <w:r w:rsidRPr="00B44BAE">
              <w:t>Organisational transport operations arrangements are accessed</w:t>
            </w:r>
          </w:p>
        </w:tc>
      </w:tr>
      <w:tr w:rsidTr="007B20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AE">
            <w:pPr>
              <w:pStyle w:val="BodyText"/>
              <w:rPr>
                <w:lang w:val="en-NZ"/>
              </w:rPr>
            </w:pPr>
            <w:r w:rsidRPr="00B44BAE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AE">
            <w:pPr>
              <w:pStyle w:val="BodyText"/>
              <w:rPr>
                <w:lang w:val="en-NZ"/>
              </w:rPr>
            </w:pPr>
            <w:r w:rsidRPr="00B44BAE">
              <w:t>Benefits and limitations of organisational transportation modes are identified</w:t>
            </w:r>
          </w:p>
        </w:tc>
      </w:tr>
      <w:tr w:rsidTr="007B20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AE">
            <w:pPr>
              <w:pStyle w:val="BodyText"/>
              <w:rPr>
                <w:lang w:val="en-NZ"/>
              </w:rPr>
            </w:pPr>
            <w:r w:rsidRPr="00B44BAE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AE">
            <w:pPr>
              <w:pStyle w:val="BodyText"/>
              <w:rPr>
                <w:lang w:val="en-NZ"/>
              </w:rPr>
            </w:pPr>
            <w:r w:rsidRPr="00B44BAE">
              <w:t>Extent of in-house and outsourced transportation methods is confirmed</w:t>
            </w:r>
          </w:p>
        </w:tc>
      </w:tr>
      <w:tr w:rsidTr="007B20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AE">
            <w:pPr>
              <w:pStyle w:val="BodyText"/>
              <w:rPr>
                <w:lang w:val="en-NZ"/>
              </w:rPr>
            </w:pPr>
            <w:r w:rsidRPr="00B44BAE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AE">
            <w:pPr>
              <w:pStyle w:val="BodyText"/>
              <w:rPr>
                <w:lang w:val="en-NZ"/>
              </w:rPr>
            </w:pPr>
            <w:r w:rsidRPr="00B44BAE">
              <w:t>Cost benefits and customer service level between in-house and outsourced transportation methods are evaluated</w:t>
            </w:r>
          </w:p>
        </w:tc>
      </w:tr>
      <w:tr w:rsidTr="007B20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AE">
            <w:pPr>
              <w:pStyle w:val="BodyText"/>
              <w:rPr>
                <w:lang w:val="en-NZ"/>
              </w:rPr>
            </w:pPr>
            <w:r w:rsidRPr="00B44BAE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AE">
            <w:pPr>
              <w:pStyle w:val="BodyText"/>
              <w:rPr>
                <w:lang w:val="en-NZ"/>
              </w:rPr>
            </w:pPr>
            <w:r w:rsidRPr="00B44BAE">
              <w:t>Applicable legislative requirements are identified</w:t>
            </w:r>
          </w:p>
        </w:tc>
      </w:tr>
      <w:tr w:rsidTr="007B20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BAE" w:rsidP="00B44BAE">
            <w:pPr>
              <w:pStyle w:val="BodyText"/>
            </w:pPr>
            <w:r w:rsidRPr="00B44BA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AE">
            <w:pPr>
              <w:pStyle w:val="BodyText"/>
              <w:rPr>
                <w:lang w:val="en-NZ"/>
              </w:rPr>
            </w:pPr>
            <w:r w:rsidRPr="00B44BAE">
              <w:rPr>
                <w:rStyle w:val="SpecialBold"/>
              </w:rPr>
              <w:t>Monitor unit loads and load building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AE">
            <w:pPr>
              <w:pStyle w:val="BodyText"/>
              <w:rPr>
                <w:lang w:val="en-NZ"/>
              </w:rPr>
            </w:pPr>
            <w:r w:rsidRPr="00B44BAE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AE">
            <w:pPr>
              <w:pStyle w:val="BodyText"/>
              <w:rPr>
                <w:lang w:val="en-NZ"/>
              </w:rPr>
            </w:pPr>
            <w:r w:rsidRPr="00B44BAE">
              <w:t>Advantages and limitations of available tran</w:t>
            </w:r>
            <w:r w:rsidRPr="00B44BAE">
              <w:t>sport equipment and unit loads are determined</w:t>
            </w:r>
          </w:p>
        </w:tc>
      </w:tr>
      <w:tr w:rsidTr="007B20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AE">
            <w:pPr>
              <w:pStyle w:val="BodyText"/>
              <w:rPr>
                <w:lang w:val="en-NZ"/>
              </w:rPr>
            </w:pPr>
            <w:r w:rsidRPr="00B44BAE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AE">
            <w:pPr>
              <w:pStyle w:val="BodyText"/>
              <w:rPr>
                <w:lang w:val="en-NZ"/>
              </w:rPr>
            </w:pPr>
            <w:r w:rsidRPr="00B44BAE">
              <w:t>Transport mode options are analysed to determine organisational load application, efficiency and effectiveness</w:t>
            </w:r>
          </w:p>
        </w:tc>
      </w:tr>
      <w:tr w:rsidTr="007B20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AE">
            <w:pPr>
              <w:pStyle w:val="BodyText"/>
              <w:rPr>
                <w:lang w:val="en-NZ"/>
              </w:rPr>
            </w:pPr>
            <w:r w:rsidRPr="00B44BAE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AE">
            <w:pPr>
              <w:pStyle w:val="BodyText"/>
              <w:rPr>
                <w:lang w:val="en-NZ"/>
              </w:rPr>
            </w:pPr>
            <w:r w:rsidRPr="00B44BAE">
              <w:t xml:space="preserve">Unit </w:t>
            </w:r>
            <w:r w:rsidRPr="00B44BAE">
              <w:t>loads and load building are monitored for compliance with legislative requirements and organisational policies and procedures</w:t>
            </w:r>
          </w:p>
        </w:tc>
      </w:tr>
      <w:tr w:rsidTr="007B20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AE">
            <w:pPr>
              <w:pStyle w:val="BodyText"/>
              <w:rPr>
                <w:lang w:val="en-NZ"/>
              </w:rPr>
            </w:pPr>
            <w:r w:rsidRPr="00B44BAE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AE">
            <w:pPr>
              <w:pStyle w:val="BodyText"/>
              <w:rPr>
                <w:lang w:val="en-NZ"/>
              </w:rPr>
            </w:pPr>
            <w:r w:rsidRPr="00B44BAE">
              <w:t>Issues or non-compliant practices are reported, in accordance with organisational policies and procedures</w:t>
            </w:r>
          </w:p>
        </w:tc>
      </w:tr>
      <w:tr w:rsidTr="007B20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BAE" w:rsidP="00B44BAE">
            <w:pPr>
              <w:pStyle w:val="BodyText"/>
            </w:pPr>
            <w:r w:rsidRPr="00B44BAE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AE">
            <w:pPr>
              <w:pStyle w:val="BodyText"/>
              <w:rPr>
                <w:lang w:val="en-NZ"/>
              </w:rPr>
            </w:pPr>
            <w:r w:rsidRPr="00B44BAE">
              <w:rPr>
                <w:rStyle w:val="SpecialBold"/>
              </w:rPr>
              <w:t>Examine transport security requirements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AE">
            <w:pPr>
              <w:pStyle w:val="BodyText"/>
              <w:rPr>
                <w:lang w:val="en-NZ"/>
              </w:rPr>
            </w:pPr>
            <w:r w:rsidRPr="00B44BAE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AE">
            <w:pPr>
              <w:pStyle w:val="BodyText"/>
              <w:rPr>
                <w:lang w:val="en-NZ"/>
              </w:rPr>
            </w:pPr>
            <w:r w:rsidRPr="00B44BAE">
              <w:t>Transport security risks are identified</w:t>
            </w:r>
          </w:p>
        </w:tc>
      </w:tr>
      <w:tr w:rsidTr="007B20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AE">
            <w:pPr>
              <w:pStyle w:val="BodyText"/>
              <w:rPr>
                <w:lang w:val="en-NZ"/>
              </w:rPr>
            </w:pPr>
            <w:r w:rsidRPr="00B44BAE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AE">
            <w:pPr>
              <w:pStyle w:val="BodyText"/>
              <w:rPr>
                <w:lang w:val="en-NZ"/>
              </w:rPr>
            </w:pPr>
            <w:r w:rsidRPr="00B44BAE">
              <w:t>Security contingencies are determined for use within the transport sector</w:t>
            </w:r>
          </w:p>
        </w:tc>
      </w:tr>
      <w:tr w:rsidTr="007B20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AE">
            <w:pPr>
              <w:pStyle w:val="BodyText"/>
              <w:rPr>
                <w:lang w:val="en-NZ"/>
              </w:rPr>
            </w:pPr>
            <w:r w:rsidRPr="00B44BAE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AE">
            <w:pPr>
              <w:pStyle w:val="BodyText"/>
              <w:rPr>
                <w:lang w:val="en-NZ"/>
              </w:rPr>
            </w:pPr>
            <w:r w:rsidRPr="00B44BAE">
              <w:t>Security breaches are reported and recommendations are made regarding security impro</w:t>
            </w:r>
            <w:r w:rsidRPr="00B44BAE">
              <w:t>vements, in accordance with organisational policies and procedures</w:t>
            </w:r>
          </w:p>
        </w:tc>
      </w:tr>
      <w:tr w:rsidTr="007B20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BAE" w:rsidP="00B44BAE">
            <w:pPr>
              <w:pStyle w:val="BodyText"/>
            </w:pPr>
            <w:r w:rsidRPr="00B44BAE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AE">
            <w:pPr>
              <w:pStyle w:val="BodyText"/>
              <w:rPr>
                <w:lang w:val="en-NZ"/>
              </w:rPr>
            </w:pPr>
            <w:r w:rsidRPr="00B44BAE">
              <w:rPr>
                <w:rStyle w:val="SpecialBold"/>
              </w:rPr>
              <w:t>Analyse transport costing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AE">
            <w:pPr>
              <w:pStyle w:val="BodyText"/>
              <w:rPr>
                <w:lang w:val="en-NZ"/>
              </w:rPr>
            </w:pPr>
            <w:r w:rsidRPr="00B44BAE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AE">
            <w:pPr>
              <w:pStyle w:val="BodyText"/>
              <w:rPr>
                <w:lang w:val="en-NZ"/>
              </w:rPr>
            </w:pPr>
            <w:r w:rsidRPr="00B44BAE">
              <w:t>Statistical operational data is identified, to measure transport effectiveness</w:t>
            </w:r>
          </w:p>
        </w:tc>
      </w:tr>
      <w:tr w:rsidTr="007B20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AE">
            <w:pPr>
              <w:pStyle w:val="BodyText"/>
              <w:rPr>
                <w:lang w:val="en-NZ"/>
              </w:rPr>
            </w:pPr>
            <w:r w:rsidRPr="00B44BAE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AE">
            <w:pPr>
              <w:pStyle w:val="BodyText"/>
              <w:rPr>
                <w:lang w:val="en-NZ"/>
              </w:rPr>
            </w:pPr>
            <w:r w:rsidRPr="00B44BAE">
              <w:t>Organisational data capturing proced</w:t>
            </w:r>
            <w:r w:rsidRPr="00B44BAE">
              <w:t>ure is used in managing transport, route planning and load building</w:t>
            </w:r>
          </w:p>
        </w:tc>
      </w:tr>
      <w:tr w:rsidTr="007B20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AE">
            <w:pPr>
              <w:pStyle w:val="BodyText"/>
              <w:rPr>
                <w:lang w:val="en-NZ"/>
              </w:rPr>
            </w:pPr>
            <w:r w:rsidRPr="00B44BAE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AE">
            <w:pPr>
              <w:pStyle w:val="BodyText"/>
              <w:rPr>
                <w:lang w:val="en-NZ"/>
              </w:rPr>
            </w:pPr>
            <w:r w:rsidRPr="00B44BAE">
              <w:t>Transport cost is analysed in accordance with organisational cost considerations</w:t>
            </w:r>
          </w:p>
        </w:tc>
      </w:tr>
      <w:tr w:rsidTr="007B20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AE">
            <w:pPr>
              <w:pStyle w:val="BodyText"/>
              <w:rPr>
                <w:lang w:val="en-NZ"/>
              </w:rPr>
            </w:pPr>
            <w:r w:rsidRPr="00B44BAE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AE">
            <w:pPr>
              <w:pStyle w:val="BodyText"/>
              <w:rPr>
                <w:lang w:val="en-NZ"/>
              </w:rPr>
            </w:pPr>
            <w:r w:rsidRPr="00B44BAE">
              <w:t>Transport performance effectiveness is measured</w:t>
            </w:r>
          </w:p>
        </w:tc>
      </w:tr>
      <w:tr w:rsidTr="007B20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AE">
            <w:pPr>
              <w:pStyle w:val="BodyText"/>
              <w:rPr>
                <w:lang w:val="en-NZ"/>
              </w:rPr>
            </w:pPr>
            <w:r w:rsidRPr="00B44BAE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AE">
            <w:pPr>
              <w:pStyle w:val="BodyText"/>
              <w:rPr>
                <w:lang w:val="en-NZ"/>
              </w:rPr>
            </w:pPr>
            <w:r w:rsidRPr="00B44BAE">
              <w:t xml:space="preserve">Transport cost elements, pricing and operating costs are evaluated, and recommendations are made regarding cost efficiencies </w:t>
            </w:r>
          </w:p>
        </w:tc>
      </w:tr>
      <w:tr w:rsidTr="007B20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BAE">
            <w:pPr>
              <w:pStyle w:val="BodyText"/>
              <w:rPr>
                <w:lang w:val="en-NZ"/>
              </w:rPr>
            </w:pPr>
            <w:r w:rsidRPr="00B44BAE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BAE" w:rsidP="00B44BAE">
            <w:pPr>
              <w:pStyle w:val="BodyText"/>
            </w:pPr>
            <w:r w:rsidRPr="00B44BAE">
              <w:t>Findings are reported in accordance with organisational policies and procedures</w:t>
            </w:r>
          </w:p>
        </w:tc>
      </w:tr>
    </w:tbl>
    <w:p w:rsidR="007B2053" w:rsidP="00B44BAE">
      <w:pPr>
        <w:pStyle w:val="BodyText"/>
      </w:pPr>
    </w:p>
    <w:p w:rsidR="007B2053" w:rsidP="00B44BAE">
      <w:pPr>
        <w:pStyle w:val="BodyText"/>
      </w:pPr>
    </w:p>
    <w:p w:rsidR="00000000" w:rsidRPr="00B44BAE" w:rsidP="00B44BAE">
      <w:pPr>
        <w:pStyle w:val="Heading1"/>
      </w:pPr>
      <w:bookmarkStart w:id="7" w:name="O_800031"/>
      <w:bookmarkEnd w:id="7"/>
      <w:r w:rsidRPr="00B44BAE">
        <w:t>Foundation Skills</w:t>
      </w:r>
    </w:p>
    <w:p w:rsidR="007B2053" w:rsidP="007B2053">
      <w:pPr>
        <w:pStyle w:val="BodyText"/>
      </w:pPr>
      <w:r w:rsidRPr="00B44BAE">
        <w:t>Found</w:t>
      </w:r>
      <w:r w:rsidRPr="00B44BAE">
        <w:t>ation skills essential to performance are explicit in the performance criteria of this unit of competency.</w:t>
      </w:r>
    </w:p>
    <w:p w:rsidR="00000000" w:rsidRPr="00B44BAE" w:rsidP="00B44BAE">
      <w:pPr>
        <w:pStyle w:val="Heading1"/>
      </w:pPr>
      <w:bookmarkStart w:id="8" w:name="O_800032"/>
      <w:bookmarkEnd w:id="8"/>
      <w:r w:rsidRPr="00B44BAE">
        <w:t>Range of Conditions</w:t>
      </w:r>
    </w:p>
    <w:p w:rsidR="00000000" w:rsidRPr="00B44BAE" w:rsidP="007B2053">
      <w:pPr>
        <w:pStyle w:val="BodyText"/>
      </w:pPr>
      <w:r w:rsidRPr="00B44BAE">
        <w:t>Range is restricted to essential operating conditions and any other variables essential to th</w:t>
      </w:r>
      <w:r w:rsidRPr="00B44BAE">
        <w:t>e work environment.</w:t>
      </w:r>
    </w:p>
    <w:p w:rsidR="007B2053" w:rsidP="007B2053">
      <w:pPr>
        <w:pStyle w:val="BodyText"/>
      </w:pPr>
      <w:r w:rsidRPr="00B44BAE">
        <w:t>Non-essential conditions can be found in the Companion Volume Implementation Guide.</w:t>
      </w:r>
    </w:p>
    <w:p w:rsidR="00000000" w:rsidRPr="00B44BAE" w:rsidP="00B44BAE">
      <w:pPr>
        <w:pStyle w:val="Heading1"/>
      </w:pPr>
      <w:bookmarkStart w:id="9" w:name="O_800033"/>
      <w:bookmarkEnd w:id="9"/>
      <w:r w:rsidRPr="00B44BAE">
        <w:t>Unit Mapping Information</w:t>
      </w:r>
    </w:p>
    <w:p w:rsidR="007B2053" w:rsidP="007B2053">
      <w:pPr>
        <w:pStyle w:val="BodyText"/>
      </w:pPr>
      <w:r w:rsidRPr="00B44BAE">
        <w:t>This unit replaces and is equivalent to TLIP4039A Monitor transport operations.</w:t>
      </w:r>
    </w:p>
    <w:p w:rsidR="00000000" w:rsidRPr="00B44BAE" w:rsidP="00B44BAE">
      <w:pPr>
        <w:pStyle w:val="Heading1"/>
      </w:pPr>
      <w:bookmarkStart w:id="10" w:name="O_800040"/>
      <w:bookmarkEnd w:id="10"/>
      <w:r w:rsidRPr="00B44BAE">
        <w:t>Links</w:t>
      </w:r>
    </w:p>
    <w:p w:rsidR="00000000" w:rsidRPr="00B44BAE" w:rsidP="007B2053">
      <w:pPr>
        <w:pStyle w:val="BodyText"/>
      </w:pPr>
      <w:r w:rsidRPr="00B44BAE">
        <w:t>Compa</w:t>
      </w:r>
      <w:r w:rsidRPr="00B44BAE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738B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44BAE" w:rsidP="00B44BAE"/>
    <w:sectPr w:rsidSect="00B44B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B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BAE" w:rsidRPr="007B2053" w:rsidP="007B20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B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053" w:rsidP="00B44B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2053" w:rsidP="00B44B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B2053" w:rsidP="00B44B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B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0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4BAE" w:rsidRPr="007B2053" w:rsidP="007B20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B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053" w:rsidRPr="002D2AF8" w:rsidP="00B44B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TLIP4039 Monitor transport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7B2053" w:rsidP="00B44B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B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4B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4B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4B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4B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4B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4B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4B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4B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4B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4B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4BAE"/>
  </w:style>
  <w:style w:type="character" w:customStyle="1" w:styleId="Heading1Char">
    <w:name w:val="Heading 1 Char"/>
    <w:basedOn w:val="DefaultParagraphFont"/>
    <w:link w:val="Heading1"/>
    <w:rsid w:val="00B44B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4B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4BA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44BAE"/>
    <w:rPr>
      <w:b/>
      <w:spacing w:val="0"/>
    </w:rPr>
  </w:style>
  <w:style w:type="paragraph" w:customStyle="1" w:styleId="SuperHeading">
    <w:name w:val="SuperHeading"/>
    <w:basedOn w:val="Normal"/>
    <w:rsid w:val="00B44B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4B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4B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4B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4B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4B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4B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4B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4B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4B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4B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4B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4B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4B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4B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4B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4B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4B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4B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4B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4B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4BA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44B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4B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4B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4B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4BA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4B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4B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4B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4B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4B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4B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4B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4B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4B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4BAE"/>
    <w:rPr>
      <w:i/>
    </w:rPr>
  </w:style>
  <w:style w:type="paragraph" w:styleId="Caption">
    <w:name w:val="caption"/>
    <w:basedOn w:val="BodyText"/>
    <w:next w:val="Normal"/>
    <w:qFormat/>
    <w:rsid w:val="00B44B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4B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4B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4BAE"/>
  </w:style>
  <w:style w:type="paragraph" w:styleId="TableofFigures">
    <w:name w:val="table of figures"/>
    <w:basedOn w:val="Normal"/>
    <w:next w:val="Normal"/>
    <w:semiHidden/>
    <w:rsid w:val="00B44B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4BA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44BAE"/>
    <w:rPr>
      <w:rFonts w:ascii="Wingdings" w:hAnsi="Wingdings"/>
    </w:rPr>
  </w:style>
  <w:style w:type="paragraph" w:customStyle="1" w:styleId="TableHeading">
    <w:name w:val="Table Heading"/>
    <w:basedOn w:val="HeadingBase"/>
    <w:rsid w:val="00B44B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4BAE"/>
    <w:rPr>
      <w:color w:val="0033CC"/>
      <w:u w:val="none"/>
    </w:rPr>
  </w:style>
  <w:style w:type="paragraph" w:customStyle="1" w:styleId="BodyTextRight">
    <w:name w:val="Body Text Right"/>
    <w:basedOn w:val="BodyText"/>
    <w:rsid w:val="00B44B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4B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4BA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4B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4B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4B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4BAE"/>
    <w:rPr>
      <w:sz w:val="32"/>
    </w:rPr>
  </w:style>
  <w:style w:type="paragraph" w:customStyle="1" w:styleId="HeadingProcedure">
    <w:name w:val="Heading Procedure"/>
    <w:basedOn w:val="HeadingBase"/>
    <w:next w:val="Normal"/>
    <w:rsid w:val="00B44B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4BAE"/>
    <w:pPr>
      <w:spacing w:before="60" w:after="60"/>
    </w:pPr>
  </w:style>
  <w:style w:type="paragraph" w:styleId="ListContinue">
    <w:name w:val="List Continue"/>
    <w:basedOn w:val="List"/>
    <w:rsid w:val="00B44BAE"/>
    <w:pPr>
      <w:ind w:firstLine="0"/>
    </w:pPr>
  </w:style>
  <w:style w:type="paragraph" w:customStyle="1" w:styleId="ListNote">
    <w:name w:val="List Note"/>
    <w:basedOn w:val="List"/>
    <w:rsid w:val="00B44B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4B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4B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4BAE"/>
    <w:rPr>
      <w:rFonts w:ascii="Courier New" w:hAnsi="Courier New"/>
    </w:rPr>
  </w:style>
  <w:style w:type="paragraph" w:customStyle="1" w:styleId="NoteBullet">
    <w:name w:val="Note Bullet"/>
    <w:basedOn w:val="Note"/>
    <w:rsid w:val="00B44B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4B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4B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4B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4BA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44B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4B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4BAE"/>
    <w:rPr>
      <w:b/>
      <w:smallCaps/>
    </w:rPr>
  </w:style>
  <w:style w:type="paragraph" w:customStyle="1" w:styleId="TableListNumber">
    <w:name w:val="Table List Number"/>
    <w:basedOn w:val="ListNumber"/>
    <w:rsid w:val="00B44B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4B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4BAE"/>
    <w:pPr>
      <w:numPr>
        <w:numId w:val="7"/>
      </w:numPr>
    </w:pPr>
  </w:style>
  <w:style w:type="paragraph" w:customStyle="1" w:styleId="ListAlpha2">
    <w:name w:val="List Alpha 2"/>
    <w:basedOn w:val="List2"/>
    <w:rsid w:val="00B44BAE"/>
    <w:pPr>
      <w:numPr>
        <w:numId w:val="6"/>
      </w:numPr>
    </w:pPr>
  </w:style>
  <w:style w:type="paragraph" w:styleId="List2">
    <w:name w:val="List 2"/>
    <w:basedOn w:val="BodyText"/>
    <w:rsid w:val="00B44B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4B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4B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4B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4BA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4BA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44BAE"/>
    <w:pPr>
      <w:numPr>
        <w:numId w:val="2"/>
      </w:numPr>
    </w:pPr>
  </w:style>
  <w:style w:type="paragraph" w:styleId="ListContinue2">
    <w:name w:val="List Continue 2"/>
    <w:basedOn w:val="List2"/>
    <w:rsid w:val="00B44BAE"/>
    <w:pPr>
      <w:ind w:firstLine="0"/>
    </w:pPr>
  </w:style>
  <w:style w:type="paragraph" w:styleId="ListContinue3">
    <w:name w:val="List Continue 3"/>
    <w:basedOn w:val="List3"/>
    <w:rsid w:val="00B44BAE"/>
    <w:pPr>
      <w:ind w:left="1021" w:firstLine="0"/>
    </w:pPr>
  </w:style>
  <w:style w:type="paragraph" w:styleId="ListContinue4">
    <w:name w:val="List Continue 4"/>
    <w:basedOn w:val="List4"/>
    <w:rsid w:val="00B44BAE"/>
    <w:pPr>
      <w:ind w:firstLine="0"/>
    </w:pPr>
  </w:style>
  <w:style w:type="paragraph" w:styleId="ListContinue5">
    <w:name w:val="List Continue 5"/>
    <w:basedOn w:val="List5"/>
    <w:rsid w:val="00B44BAE"/>
    <w:pPr>
      <w:ind w:firstLine="0"/>
    </w:pPr>
  </w:style>
  <w:style w:type="paragraph" w:styleId="ListNumber3">
    <w:name w:val="List Number 3"/>
    <w:basedOn w:val="List3"/>
    <w:rsid w:val="00B44BAE"/>
    <w:pPr>
      <w:numPr>
        <w:numId w:val="3"/>
      </w:numPr>
    </w:pPr>
  </w:style>
  <w:style w:type="paragraph" w:styleId="ListNumber4">
    <w:name w:val="List Number 4"/>
    <w:basedOn w:val="List4"/>
    <w:rsid w:val="00B44BAE"/>
    <w:pPr>
      <w:numPr>
        <w:numId w:val="4"/>
      </w:numPr>
    </w:pPr>
  </w:style>
  <w:style w:type="paragraph" w:styleId="ListNumber5">
    <w:name w:val="List Number 5"/>
    <w:basedOn w:val="List5"/>
    <w:rsid w:val="00B44BAE"/>
    <w:pPr>
      <w:numPr>
        <w:numId w:val="5"/>
      </w:numPr>
    </w:pPr>
  </w:style>
  <w:style w:type="paragraph" w:styleId="BlockText">
    <w:name w:val="Block Text"/>
    <w:basedOn w:val="Normal"/>
    <w:rsid w:val="00B44B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4B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4BAE"/>
    <w:rPr>
      <w:sz w:val="16"/>
      <w:vertAlign w:val="superscript"/>
    </w:rPr>
  </w:style>
  <w:style w:type="character" w:customStyle="1" w:styleId="Symbols">
    <w:name w:val="Symbols"/>
    <w:basedOn w:val="DefaultParagraphFont"/>
    <w:rsid w:val="00B44BAE"/>
    <w:rPr>
      <w:rFonts w:ascii="Symbol" w:hAnsi="Symbol"/>
    </w:rPr>
  </w:style>
  <w:style w:type="character" w:customStyle="1" w:styleId="MenuOptions">
    <w:name w:val="Menu Options"/>
    <w:basedOn w:val="DefaultParagraphFont"/>
    <w:rsid w:val="00B44B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4BAE"/>
    <w:rPr>
      <w:b/>
    </w:rPr>
  </w:style>
  <w:style w:type="character" w:customStyle="1" w:styleId="Underlined">
    <w:name w:val="Underlined"/>
    <w:basedOn w:val="DefaultParagraphFont"/>
    <w:rsid w:val="00B44BAE"/>
    <w:rPr>
      <w:u w:val="single"/>
    </w:rPr>
  </w:style>
  <w:style w:type="paragraph" w:customStyle="1" w:styleId="TableBodyTextRight">
    <w:name w:val="Table Body Text Right"/>
    <w:basedOn w:val="TableBodyText"/>
    <w:rsid w:val="00B44B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4BAE"/>
    <w:rPr>
      <w:sz w:val="18"/>
    </w:rPr>
  </w:style>
  <w:style w:type="paragraph" w:customStyle="1" w:styleId="BodySmallRight">
    <w:name w:val="Body Small Right"/>
    <w:basedOn w:val="BodyTextRight"/>
    <w:rsid w:val="00B44BAE"/>
    <w:rPr>
      <w:sz w:val="18"/>
      <w:szCs w:val="18"/>
    </w:rPr>
  </w:style>
  <w:style w:type="paragraph" w:customStyle="1" w:styleId="MarginEdition">
    <w:name w:val="Margin Edition"/>
    <w:basedOn w:val="MarginNote"/>
    <w:rsid w:val="00B44B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4BAE"/>
    <w:rPr>
      <w:sz w:val="2"/>
      <w:szCs w:val="2"/>
    </w:rPr>
  </w:style>
  <w:style w:type="character" w:customStyle="1" w:styleId="Small">
    <w:name w:val="Small"/>
    <w:basedOn w:val="DefaultParagraphFont"/>
    <w:rsid w:val="00B44BAE"/>
    <w:rPr>
      <w:sz w:val="16"/>
    </w:rPr>
  </w:style>
  <w:style w:type="paragraph" w:customStyle="1" w:styleId="WideTable">
    <w:name w:val="Wide Table"/>
    <w:basedOn w:val="Normal"/>
    <w:rsid w:val="00B44B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4BAE"/>
  </w:style>
  <w:style w:type="paragraph" w:styleId="Quote">
    <w:name w:val="Quote"/>
    <w:basedOn w:val="Heading1"/>
    <w:link w:val="QuoteChar"/>
    <w:qFormat/>
    <w:rsid w:val="00B44B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4B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4BAE"/>
    <w:pPr>
      <w:pageBreakBefore/>
    </w:pPr>
  </w:style>
  <w:style w:type="paragraph" w:customStyle="1" w:styleId="Border">
    <w:name w:val="Border"/>
    <w:basedOn w:val="Normal"/>
    <w:qFormat/>
    <w:rsid w:val="00B44B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4B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4B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4B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4B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4B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4B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4B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4B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4BAE"/>
    <w:rPr>
      <w:u w:val="single"/>
    </w:rPr>
  </w:style>
  <w:style w:type="character" w:customStyle="1" w:styleId="BoldandItalics">
    <w:name w:val="Bold and Italics"/>
    <w:qFormat/>
    <w:rsid w:val="00B44BAE"/>
    <w:rPr>
      <w:b/>
      <w:i/>
      <w:u w:val="none"/>
    </w:rPr>
  </w:style>
  <w:style w:type="paragraph" w:styleId="BalloonText">
    <w:name w:val="Balloon Text"/>
    <w:basedOn w:val="Normal"/>
    <w:link w:val="BalloonTextChar"/>
    <w:rsid w:val="00B44B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4B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4B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4B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4B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4B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4BAE"/>
    <w:pPr>
      <w:spacing w:before="0" w:after="0"/>
    </w:pPr>
  </w:style>
  <w:style w:type="paragraph" w:customStyle="1" w:styleId="BodyTextBold">
    <w:name w:val="Body Text Bold"/>
    <w:basedOn w:val="BodyText"/>
    <w:qFormat/>
    <w:rsid w:val="00B44BAE"/>
    <w:rPr>
      <w:b/>
    </w:rPr>
  </w:style>
  <w:style w:type="character" w:styleId="Hyperlink">
    <w:name w:val="Hyperlink"/>
    <w:basedOn w:val="DefaultParagraphFont"/>
    <w:uiPriority w:val="99"/>
    <w:unhideWhenUsed/>
    <w:rsid w:val="007B20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3368</Characters>
  <Application>Microsoft Office Word</Application>
  <DocSecurity>0</DocSecurity>
  <Lines>146</Lines>
  <Paragraphs>89</Paragraphs>
  <ScaleCrop>false</ScaleCrop>
  <Company>Author-it Software Corporation Ltd.</Company>
  <LinksUpToDate>false</LinksUpToDate>
  <CharactersWithSpaces>3779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TLIP4039 Monitor transport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2021-04-12T02:05:00Z</dcterms:created>
  <dcterms:modified xsi:type="dcterms:W3CDTF">2021-04-12T02:05:00Z</dcterms:modified>
</cp:coreProperties>
</file>