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388" w:rsidP="00DE5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TLIP2038 Conduct, balance and secure financial transactions</w:t>
      </w:r>
      <w:r>
        <w:fldChar w:fldCharType="end"/>
      </w:r>
    </w:p>
    <w:p w:rsidR="00DE5388" w:rsidP="00DE5388">
      <w:pPr>
        <w:pStyle w:val="Version"/>
        <w:sectPr w:rsidSect="00032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D88" w:rsidP="00032D88">
      <w:pPr>
        <w:pStyle w:val="SuperHeading"/>
      </w:pPr>
      <w:r w:rsidRPr="00032D88">
        <w:t>TLIP2038 Conduct, balance and secure financial transactions</w:t>
      </w:r>
    </w:p>
    <w:p w:rsidR="00000000" w:rsidRPr="00032D88" w:rsidP="00032D88">
      <w:pPr>
        <w:pStyle w:val="Heading1"/>
      </w:pPr>
      <w:bookmarkStart w:id="1" w:name="O_753290"/>
      <w:bookmarkEnd w:id="1"/>
      <w:r w:rsidRPr="00032D88">
        <w:t>Modification History</w:t>
      </w:r>
    </w:p>
    <w:p w:rsidR="00DE5388" w:rsidP="00DE5388">
      <w:pPr>
        <w:pStyle w:val="BodyText"/>
      </w:pPr>
      <w:r w:rsidRPr="00032D88">
        <w:t>Release 1. This is the first release of this unit of competency in the TLI Transport and Logistics Training Package.</w:t>
      </w:r>
    </w:p>
    <w:p w:rsidR="00000000" w:rsidRPr="00032D88" w:rsidP="00032D88">
      <w:pPr>
        <w:pStyle w:val="Heading1"/>
      </w:pPr>
      <w:bookmarkStart w:id="2" w:name="O_753291"/>
      <w:bookmarkEnd w:id="2"/>
      <w:r w:rsidRPr="00032D8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t>This unit involves the knowledge and skills required to communicate with</w:t>
            </w:r>
            <w:r w:rsidRPr="00032D88">
              <w:t xml:space="preserve"> customers and to operate a range of point-of-sale equipment to perform sales transactions, and to balance and reconcile a register or terminal.</w:t>
            </w:r>
          </w:p>
          <w:p w:rsidR="00000000" w:rsidRPr="00032D88" w:rsidP="00032D88">
            <w:pPr>
              <w:pStyle w:val="BodyText"/>
            </w:pPr>
            <w:r w:rsidRPr="00032D88">
              <w:t>It involves conducting transactions, clearing the register, counting money, calculating non</w:t>
            </w:r>
            <w:r w:rsidRPr="00032D88">
              <w:noBreakHyphen/>
              <w:t xml:space="preserve">cash transactions, </w:t>
            </w:r>
            <w:r w:rsidRPr="00032D88">
              <w:t xml:space="preserve">and reconciling and recording takings. </w:t>
            </w:r>
          </w:p>
          <w:p w:rsidR="00000000" w:rsidRPr="00032D88" w:rsidP="00032D88">
            <w:pPr>
              <w:pStyle w:val="BodyText"/>
            </w:pPr>
            <w:r w:rsidRPr="00032D88">
              <w:t>This unit applies to frontline staff working under some supervision and requires the application of organisational policy and procedures in undertaking work tasks.</w:t>
            </w:r>
          </w:p>
          <w:p w:rsidR="00000000" w:rsidRPr="00032D88" w:rsidP="00032D88">
            <w:pPr>
              <w:pStyle w:val="BodyText"/>
            </w:pPr>
            <w:r w:rsidRPr="00032D88">
              <w:t>No licensing, legislative or certification requireme</w:t>
            </w:r>
            <w:r w:rsidRPr="00032D88">
              <w:t>nts apply to this unit at the time of publication.</w:t>
            </w:r>
          </w:p>
        </w:tc>
      </w:tr>
    </w:tbl>
    <w:p w:rsidR="00DE5388" w:rsidP="00032D88">
      <w:pPr>
        <w:pStyle w:val="BodyText"/>
      </w:pPr>
    </w:p>
    <w:p w:rsidR="00DE5388" w:rsidP="00032D88">
      <w:pPr>
        <w:pStyle w:val="BodyText"/>
      </w:pPr>
    </w:p>
    <w:p w:rsidR="00000000" w:rsidRPr="00032D88" w:rsidP="00032D88">
      <w:pPr>
        <w:pStyle w:val="Heading1"/>
      </w:pPr>
      <w:bookmarkStart w:id="3" w:name="O_753292"/>
      <w:bookmarkEnd w:id="3"/>
      <w:r w:rsidRPr="00032D88">
        <w:t>Pre-requisite Unit</w:t>
      </w:r>
    </w:p>
    <w:p w:rsidR="00DE5388" w:rsidP="00DE5388">
      <w:pPr>
        <w:pStyle w:val="BodyText"/>
      </w:pPr>
      <w:r w:rsidRPr="00032D88">
        <w:t>Not applicable.</w:t>
      </w:r>
    </w:p>
    <w:p w:rsidR="00000000" w:rsidRPr="00032D88" w:rsidP="00032D88">
      <w:pPr>
        <w:pStyle w:val="Heading1"/>
      </w:pPr>
      <w:bookmarkStart w:id="4" w:name="O_753293"/>
      <w:bookmarkEnd w:id="4"/>
      <w:r w:rsidRPr="00032D88">
        <w:t>Competency Field</w:t>
      </w:r>
    </w:p>
    <w:p w:rsidR="00DE5388" w:rsidP="00DE5388">
      <w:pPr>
        <w:pStyle w:val="BodyText"/>
      </w:pPr>
      <w:r w:rsidRPr="00032D88">
        <w:t>P – Administration &amp; Finance</w:t>
      </w:r>
    </w:p>
    <w:p w:rsidR="00000000" w:rsidRPr="00032D88" w:rsidP="00032D88">
      <w:pPr>
        <w:pStyle w:val="Heading1"/>
      </w:pPr>
      <w:bookmarkStart w:id="5" w:name="O_753294"/>
      <w:bookmarkEnd w:id="5"/>
      <w:r w:rsidRPr="00032D88">
        <w:t>Unit Sector</w:t>
      </w:r>
    </w:p>
    <w:p w:rsidR="00DE5388" w:rsidP="00DE5388">
      <w:pPr>
        <w:pStyle w:val="BodyText"/>
      </w:pPr>
      <w:r w:rsidRPr="00032D88">
        <w:t>Not applicable.</w:t>
      </w:r>
    </w:p>
    <w:p w:rsidR="00000000" w:rsidRPr="00032D88" w:rsidP="00032D88">
      <w:pPr>
        <w:pStyle w:val="Heading1"/>
      </w:pPr>
      <w:bookmarkStart w:id="6" w:name="O_753295"/>
      <w:bookmarkEnd w:id="6"/>
      <w:r w:rsidRPr="00032D88">
        <w:t>Elements and Perfo</w:t>
      </w:r>
      <w:r w:rsidRPr="00032D88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Performance criteria describe the performance needed to demonstrate achievement of the element.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rPr>
                <w:rStyle w:val="SpecialBold"/>
              </w:rPr>
              <w:t xml:space="preserve">Operate point-of-sale </w:t>
            </w:r>
            <w:r w:rsidRPr="00032D88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Point-of-sale equipment is operated in accordance with design</w:t>
            </w:r>
            <w:r w:rsidRPr="00032D88">
              <w:t xml:space="preserve"> specifications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Point-of-sale terminal is opened and closed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Point-of-sale terminal is cleared and tender is transferred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Cash handling is conducted in accordance with organisational security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Supplies of change and cash float are maintained in point-of-sale terminal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Records of transaction errors are recorded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Adequate supplies of dockets, vouchers and point-of-sale documents are maintained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rPr>
                <w:rStyle w:val="SpecialBold"/>
              </w:rPr>
              <w:t>Perform point-of-sale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Point-of-sale transactio</w:t>
            </w:r>
            <w:r w:rsidRPr="00032D88">
              <w:t>ns are completed in accordance with organisational policies and procedures, and relevant legislation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Organisational procedures for cash and non-cash transactions are identified and applied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Organisational policies and procedures for exchanges and returns are identified and applied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Information is entered correctly into point-of-sale equipment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Total price and amount of cash received is verbally stated and correct change is tendered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rPr>
                <w:rStyle w:val="SpecialBold"/>
              </w:rPr>
              <w:t>Complete sales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Relevant documentation is completed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Sales transactions are processed in a timel</w:t>
            </w:r>
            <w:r w:rsidRPr="00032D88">
              <w:t>y manner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rPr>
                <w:rStyle w:val="SpecialBold"/>
              </w:rPr>
              <w:t>Remove takings from register or terminal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Register or terminal is balanced at designated times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Cash float is separated from takings prior to balancing and is secured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Change is supplied to register or terminal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Register or terminal reading or printout is obtained and interpreted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Cash and non-cash documents are removed and secured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rPr>
                <w:rStyle w:val="SpecialBold"/>
              </w:rPr>
              <w:t>Reconcile takings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Cash is counted accurately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Non-cash documents are calculated accurately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Balance between register or terminal reading and sum of cash and non-cash transactions is determined correctly and recorded in accordance with organisational policies and procedures</w:t>
            </w:r>
          </w:p>
        </w:tc>
      </w:tr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D88">
            <w:pPr>
              <w:pStyle w:val="BodyText"/>
              <w:rPr>
                <w:lang w:val="en-NZ"/>
              </w:rPr>
            </w:pPr>
            <w:r w:rsidRPr="00032D88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t>Discrepancies b</w:t>
            </w:r>
            <w:r w:rsidRPr="00032D88">
              <w:t>etween register or terminal reading and sum of cash are determined correctly and recorded in accordance with organisational policies and procedures</w:t>
            </w:r>
          </w:p>
        </w:tc>
      </w:tr>
    </w:tbl>
    <w:p w:rsidR="00DE5388" w:rsidP="00032D88">
      <w:pPr>
        <w:pStyle w:val="BodyText"/>
      </w:pPr>
    </w:p>
    <w:p w:rsidR="00DE5388" w:rsidP="00032D88">
      <w:pPr>
        <w:pStyle w:val="BodyText"/>
      </w:pPr>
    </w:p>
    <w:p w:rsidR="00000000" w:rsidRPr="00032D88" w:rsidP="00032D88">
      <w:pPr>
        <w:pStyle w:val="Heading1"/>
      </w:pPr>
      <w:bookmarkStart w:id="7" w:name="O_753296"/>
      <w:bookmarkEnd w:id="7"/>
      <w:r w:rsidRPr="00032D8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32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t>Foundation skills essential to performance are explicit in the performance criteria of this unit of competency.</w:t>
            </w:r>
          </w:p>
        </w:tc>
      </w:tr>
    </w:tbl>
    <w:p w:rsidR="00DE5388" w:rsidP="00032D88">
      <w:pPr>
        <w:pStyle w:val="BodyText"/>
      </w:pPr>
    </w:p>
    <w:p w:rsidR="00DE5388" w:rsidP="00032D88">
      <w:pPr>
        <w:pStyle w:val="BodyText"/>
      </w:pPr>
    </w:p>
    <w:p w:rsidR="00000000" w:rsidRPr="00032D88" w:rsidP="00032D88">
      <w:pPr>
        <w:pStyle w:val="Heading1"/>
      </w:pPr>
      <w:bookmarkStart w:id="8" w:name="O_753297"/>
      <w:bookmarkEnd w:id="8"/>
      <w:r w:rsidRPr="00032D8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E5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D88" w:rsidP="00032D88">
            <w:pPr>
              <w:pStyle w:val="BodyText"/>
            </w:pPr>
            <w:r w:rsidRPr="00032D88">
              <w:t>Range is restricted to essential operating conditions and any other variables essential to the work envi</w:t>
            </w:r>
            <w:r w:rsidRPr="00032D88">
              <w:t>ronment.</w:t>
            </w:r>
          </w:p>
          <w:p w:rsidR="00000000" w:rsidRPr="00032D88" w:rsidP="00032D88">
            <w:pPr>
              <w:pStyle w:val="BodyText"/>
            </w:pPr>
            <w:r w:rsidRPr="00032D88">
              <w:t>Non-essential conditions can be found in the Companion Volume Implementation Guide.</w:t>
            </w:r>
          </w:p>
        </w:tc>
      </w:tr>
    </w:tbl>
    <w:p w:rsidR="00DE5388" w:rsidP="00032D88">
      <w:pPr>
        <w:pStyle w:val="BodyText"/>
      </w:pPr>
    </w:p>
    <w:p w:rsidR="00DE5388" w:rsidP="00032D88">
      <w:pPr>
        <w:pStyle w:val="BodyText"/>
      </w:pPr>
    </w:p>
    <w:p w:rsidR="00000000" w:rsidRPr="00032D88" w:rsidP="00032D88">
      <w:pPr>
        <w:pStyle w:val="Heading1"/>
      </w:pPr>
      <w:bookmarkStart w:id="9" w:name="O_753298"/>
      <w:bookmarkEnd w:id="9"/>
      <w:r w:rsidRPr="00032D88">
        <w:t>Unit Mapping Information</w:t>
      </w:r>
    </w:p>
    <w:p w:rsidR="00DE5388" w:rsidP="00DE5388">
      <w:pPr>
        <w:pStyle w:val="BodyText"/>
      </w:pPr>
      <w:r w:rsidRPr="00032D88">
        <w:t>This unit replaces and is equivalent to TLIP2038A Conduct, balance and secure financial transactions.</w:t>
      </w:r>
    </w:p>
    <w:p w:rsidR="00000000" w:rsidRPr="00032D88" w:rsidP="00032D88">
      <w:pPr>
        <w:pStyle w:val="Heading1"/>
      </w:pPr>
      <w:bookmarkStart w:id="10" w:name="O_753305"/>
      <w:bookmarkEnd w:id="10"/>
      <w:r w:rsidRPr="00032D88">
        <w:t>Links</w:t>
      </w:r>
    </w:p>
    <w:p w:rsidR="00000000" w:rsidRPr="00032D88" w:rsidP="00DE5388">
      <w:pPr>
        <w:pStyle w:val="BodyText"/>
      </w:pPr>
      <w:r w:rsidRPr="00032D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56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2D88" w:rsidP="00032D88"/>
    <w:sectPr w:rsidSect="00032D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8" w:rsidRPr="00DE5388" w:rsidP="00DE5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88" w:rsidP="00032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388" w:rsidP="00032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5388" w:rsidP="00032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D88" w:rsidRPr="00DE5388" w:rsidP="00DE5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88" w:rsidRPr="002D2AF8" w:rsidP="00032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TLIP2038 Conduct, balance and secure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E5388" w:rsidP="00032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D88"/>
  </w:style>
  <w:style w:type="character" w:customStyle="1" w:styleId="Heading1Char">
    <w:name w:val="Heading 1 Char"/>
    <w:basedOn w:val="DefaultParagraphFont"/>
    <w:link w:val="Heading1"/>
    <w:rsid w:val="00032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D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2D88"/>
    <w:rPr>
      <w:b/>
      <w:spacing w:val="0"/>
    </w:rPr>
  </w:style>
  <w:style w:type="paragraph" w:customStyle="1" w:styleId="SuperHeading">
    <w:name w:val="SuperHeading"/>
    <w:basedOn w:val="Normal"/>
    <w:rsid w:val="00032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D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D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D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D88"/>
    <w:rPr>
      <w:i/>
    </w:rPr>
  </w:style>
  <w:style w:type="paragraph" w:styleId="Caption">
    <w:name w:val="caption"/>
    <w:basedOn w:val="BodyText"/>
    <w:next w:val="Normal"/>
    <w:qFormat/>
    <w:rsid w:val="00032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D88"/>
  </w:style>
  <w:style w:type="paragraph" w:styleId="TableofFigures">
    <w:name w:val="table of figures"/>
    <w:basedOn w:val="Normal"/>
    <w:next w:val="Normal"/>
    <w:semiHidden/>
    <w:rsid w:val="00032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D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D88"/>
    <w:rPr>
      <w:rFonts w:ascii="Wingdings" w:hAnsi="Wingdings"/>
    </w:rPr>
  </w:style>
  <w:style w:type="paragraph" w:customStyle="1" w:styleId="TableHeading">
    <w:name w:val="Table Heading"/>
    <w:basedOn w:val="HeadingBase"/>
    <w:rsid w:val="00032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D88"/>
    <w:rPr>
      <w:color w:val="0033CC"/>
      <w:u w:val="none"/>
    </w:rPr>
  </w:style>
  <w:style w:type="paragraph" w:customStyle="1" w:styleId="BodyTextRight">
    <w:name w:val="Body Text Right"/>
    <w:basedOn w:val="BodyText"/>
    <w:rsid w:val="00032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D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D88"/>
    <w:rPr>
      <w:sz w:val="32"/>
    </w:rPr>
  </w:style>
  <w:style w:type="paragraph" w:customStyle="1" w:styleId="HeadingProcedure">
    <w:name w:val="Heading Procedure"/>
    <w:basedOn w:val="HeadingBase"/>
    <w:next w:val="Normal"/>
    <w:rsid w:val="00032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D88"/>
    <w:pPr>
      <w:spacing w:before="60" w:after="60"/>
    </w:pPr>
  </w:style>
  <w:style w:type="paragraph" w:styleId="ListContinue">
    <w:name w:val="List Continue"/>
    <w:basedOn w:val="List"/>
    <w:rsid w:val="00032D88"/>
    <w:pPr>
      <w:ind w:firstLine="0"/>
    </w:pPr>
  </w:style>
  <w:style w:type="paragraph" w:customStyle="1" w:styleId="ListNote">
    <w:name w:val="List Note"/>
    <w:basedOn w:val="List"/>
    <w:rsid w:val="00032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D88"/>
    <w:rPr>
      <w:rFonts w:ascii="Courier New" w:hAnsi="Courier New"/>
    </w:rPr>
  </w:style>
  <w:style w:type="paragraph" w:customStyle="1" w:styleId="NoteBullet">
    <w:name w:val="Note Bullet"/>
    <w:basedOn w:val="Note"/>
    <w:rsid w:val="00032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D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D88"/>
    <w:rPr>
      <w:b/>
      <w:smallCaps/>
    </w:rPr>
  </w:style>
  <w:style w:type="paragraph" w:customStyle="1" w:styleId="TableListNumber">
    <w:name w:val="Table List Number"/>
    <w:basedOn w:val="ListNumber"/>
    <w:rsid w:val="00032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D88"/>
    <w:pPr>
      <w:numPr>
        <w:numId w:val="7"/>
      </w:numPr>
    </w:pPr>
  </w:style>
  <w:style w:type="paragraph" w:customStyle="1" w:styleId="ListAlpha2">
    <w:name w:val="List Alpha 2"/>
    <w:basedOn w:val="List2"/>
    <w:rsid w:val="00032D88"/>
    <w:pPr>
      <w:numPr>
        <w:numId w:val="6"/>
      </w:numPr>
    </w:pPr>
  </w:style>
  <w:style w:type="paragraph" w:styleId="List2">
    <w:name w:val="List 2"/>
    <w:basedOn w:val="BodyText"/>
    <w:rsid w:val="00032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D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D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D88"/>
    <w:pPr>
      <w:numPr>
        <w:numId w:val="2"/>
      </w:numPr>
    </w:pPr>
  </w:style>
  <w:style w:type="paragraph" w:styleId="ListContinue2">
    <w:name w:val="List Continue 2"/>
    <w:basedOn w:val="List2"/>
    <w:rsid w:val="00032D88"/>
    <w:pPr>
      <w:ind w:firstLine="0"/>
    </w:pPr>
  </w:style>
  <w:style w:type="paragraph" w:styleId="ListContinue3">
    <w:name w:val="List Continue 3"/>
    <w:basedOn w:val="List3"/>
    <w:rsid w:val="00032D88"/>
    <w:pPr>
      <w:ind w:left="1021" w:firstLine="0"/>
    </w:pPr>
  </w:style>
  <w:style w:type="paragraph" w:styleId="ListContinue4">
    <w:name w:val="List Continue 4"/>
    <w:basedOn w:val="List4"/>
    <w:rsid w:val="00032D88"/>
    <w:pPr>
      <w:ind w:firstLine="0"/>
    </w:pPr>
  </w:style>
  <w:style w:type="paragraph" w:styleId="ListContinue5">
    <w:name w:val="List Continue 5"/>
    <w:basedOn w:val="List5"/>
    <w:rsid w:val="00032D88"/>
    <w:pPr>
      <w:ind w:firstLine="0"/>
    </w:pPr>
  </w:style>
  <w:style w:type="paragraph" w:styleId="ListNumber3">
    <w:name w:val="List Number 3"/>
    <w:basedOn w:val="List3"/>
    <w:rsid w:val="00032D88"/>
    <w:pPr>
      <w:numPr>
        <w:numId w:val="3"/>
      </w:numPr>
    </w:pPr>
  </w:style>
  <w:style w:type="paragraph" w:styleId="ListNumber4">
    <w:name w:val="List Number 4"/>
    <w:basedOn w:val="List4"/>
    <w:rsid w:val="00032D88"/>
    <w:pPr>
      <w:numPr>
        <w:numId w:val="4"/>
      </w:numPr>
    </w:pPr>
  </w:style>
  <w:style w:type="paragraph" w:styleId="ListNumber5">
    <w:name w:val="List Number 5"/>
    <w:basedOn w:val="List5"/>
    <w:rsid w:val="00032D88"/>
    <w:pPr>
      <w:numPr>
        <w:numId w:val="5"/>
      </w:numPr>
    </w:pPr>
  </w:style>
  <w:style w:type="paragraph" w:styleId="BlockText">
    <w:name w:val="Block Text"/>
    <w:basedOn w:val="Normal"/>
    <w:rsid w:val="00032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D88"/>
    <w:rPr>
      <w:sz w:val="16"/>
      <w:vertAlign w:val="superscript"/>
    </w:rPr>
  </w:style>
  <w:style w:type="character" w:customStyle="1" w:styleId="Symbols">
    <w:name w:val="Symbols"/>
    <w:basedOn w:val="DefaultParagraphFont"/>
    <w:rsid w:val="00032D88"/>
    <w:rPr>
      <w:rFonts w:ascii="Symbol" w:hAnsi="Symbol"/>
    </w:rPr>
  </w:style>
  <w:style w:type="character" w:customStyle="1" w:styleId="MenuOptions">
    <w:name w:val="Menu Options"/>
    <w:basedOn w:val="DefaultParagraphFont"/>
    <w:rsid w:val="00032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D88"/>
    <w:rPr>
      <w:b/>
    </w:rPr>
  </w:style>
  <w:style w:type="character" w:customStyle="1" w:styleId="Underlined">
    <w:name w:val="Underlined"/>
    <w:basedOn w:val="DefaultParagraphFont"/>
    <w:rsid w:val="00032D88"/>
    <w:rPr>
      <w:u w:val="single"/>
    </w:rPr>
  </w:style>
  <w:style w:type="paragraph" w:customStyle="1" w:styleId="TableBodyTextRight">
    <w:name w:val="Table Body Text Right"/>
    <w:basedOn w:val="TableBodyText"/>
    <w:rsid w:val="00032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D88"/>
    <w:rPr>
      <w:sz w:val="18"/>
    </w:rPr>
  </w:style>
  <w:style w:type="paragraph" w:customStyle="1" w:styleId="BodySmallRight">
    <w:name w:val="Body Small Right"/>
    <w:basedOn w:val="BodyTextRight"/>
    <w:rsid w:val="00032D88"/>
    <w:rPr>
      <w:sz w:val="18"/>
      <w:szCs w:val="18"/>
    </w:rPr>
  </w:style>
  <w:style w:type="paragraph" w:customStyle="1" w:styleId="MarginEdition">
    <w:name w:val="Margin Edition"/>
    <w:basedOn w:val="MarginNote"/>
    <w:rsid w:val="00032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D88"/>
    <w:rPr>
      <w:sz w:val="2"/>
      <w:szCs w:val="2"/>
    </w:rPr>
  </w:style>
  <w:style w:type="character" w:customStyle="1" w:styleId="Small">
    <w:name w:val="Small"/>
    <w:basedOn w:val="DefaultParagraphFont"/>
    <w:rsid w:val="00032D88"/>
    <w:rPr>
      <w:sz w:val="16"/>
    </w:rPr>
  </w:style>
  <w:style w:type="paragraph" w:customStyle="1" w:styleId="WideTable">
    <w:name w:val="Wide Table"/>
    <w:basedOn w:val="Normal"/>
    <w:rsid w:val="00032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D88"/>
  </w:style>
  <w:style w:type="paragraph" w:styleId="Quote">
    <w:name w:val="Quote"/>
    <w:basedOn w:val="Heading1"/>
    <w:link w:val="QuoteChar"/>
    <w:qFormat/>
    <w:rsid w:val="00032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D88"/>
    <w:pPr>
      <w:pageBreakBefore/>
    </w:pPr>
  </w:style>
  <w:style w:type="paragraph" w:customStyle="1" w:styleId="Border">
    <w:name w:val="Border"/>
    <w:basedOn w:val="Normal"/>
    <w:qFormat/>
    <w:rsid w:val="00032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D88"/>
    <w:rPr>
      <w:u w:val="single"/>
    </w:rPr>
  </w:style>
  <w:style w:type="character" w:customStyle="1" w:styleId="BoldandItalics">
    <w:name w:val="Bold and Italics"/>
    <w:qFormat/>
    <w:rsid w:val="00032D88"/>
    <w:rPr>
      <w:b/>
      <w:i/>
      <w:u w:val="none"/>
    </w:rPr>
  </w:style>
  <w:style w:type="paragraph" w:styleId="BalloonText">
    <w:name w:val="Balloon Text"/>
    <w:basedOn w:val="Normal"/>
    <w:link w:val="BalloonTextChar"/>
    <w:rsid w:val="00032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D88"/>
    <w:pPr>
      <w:spacing w:before="0" w:after="0"/>
    </w:pPr>
  </w:style>
  <w:style w:type="paragraph" w:customStyle="1" w:styleId="BodyTextBold">
    <w:name w:val="Body Text Bold"/>
    <w:basedOn w:val="BodyText"/>
    <w:qFormat/>
    <w:rsid w:val="00032D88"/>
    <w:rPr>
      <w:b/>
    </w:rPr>
  </w:style>
  <w:style w:type="character" w:styleId="Hyperlink">
    <w:name w:val="Hyperlink"/>
    <w:basedOn w:val="DefaultParagraphFont"/>
    <w:uiPriority w:val="99"/>
    <w:unhideWhenUsed/>
    <w:rsid w:val="00DE5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3983</Characters>
  <Application>Microsoft Office Word</Application>
  <DocSecurity>0</DocSecurity>
  <Lines>181</Lines>
  <Paragraphs>102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TLIP2038 Conduct, balance and secure financial transactions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2021-11-22T01:10:00Z</dcterms:created>
  <dcterms:modified xsi:type="dcterms:W3CDTF">2021-11-22T01:10:00Z</dcterms:modified>
</cp:coreProperties>
</file>