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B8E" w:rsidP="00931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TLIP2032 Maintain petty cash account</w:t>
      </w:r>
      <w:r>
        <w:fldChar w:fldCharType="end"/>
      </w:r>
    </w:p>
    <w:p w:rsidR="00931B8E" w:rsidP="00931B8E">
      <w:pPr>
        <w:pStyle w:val="Version"/>
        <w:sectPr w:rsidSect="000B6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60C1" w:rsidP="000B60C1">
      <w:pPr>
        <w:pStyle w:val="SuperHeading"/>
      </w:pPr>
      <w:r w:rsidRPr="000B60C1">
        <w:t>Assessment Requirements for TLIP2032 Maintain petty cash account</w:t>
      </w:r>
    </w:p>
    <w:p w:rsidR="00000000" w:rsidRPr="000B60C1" w:rsidP="000B60C1">
      <w:pPr>
        <w:pStyle w:val="Heading1"/>
      </w:pPr>
      <w:bookmarkStart w:id="1" w:name="O_1195348"/>
      <w:bookmarkEnd w:id="1"/>
      <w:r w:rsidRPr="000B60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C1" w:rsidP="000B60C1">
            <w:pPr>
              <w:pStyle w:val="BodyText"/>
            </w:pPr>
            <w:r w:rsidRPr="000B60C1">
              <w:rPr>
                <w:rStyle w:val="SpecialBold"/>
              </w:rPr>
              <w:t>Release 2.</w:t>
            </w:r>
            <w:r w:rsidRPr="000B60C1">
              <w:t xml:space="preserve"> This is the first release of this unit of competency in the TLI Transport and Logistics Training Package.</w:t>
            </w:r>
          </w:p>
          <w:p w:rsidR="00000000" w:rsidP="000B60C1">
            <w:pPr>
              <w:pStyle w:val="ListBullet"/>
              <w:rPr>
                <w:lang w:val="en-NZ"/>
              </w:rPr>
            </w:pPr>
            <w:r w:rsidRPr="000B60C1">
              <w:t>Assessment Conditions updated.</w:t>
            </w:r>
          </w:p>
        </w:tc>
      </w:tr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C1" w:rsidP="000B60C1">
            <w:pPr>
              <w:pStyle w:val="BodyText"/>
            </w:pPr>
            <w:r w:rsidRPr="000B60C1">
              <w:rPr>
                <w:rStyle w:val="SpecialBold"/>
              </w:rPr>
              <w:t>Release 1.</w:t>
            </w:r>
            <w:r w:rsidRPr="000B60C1">
              <w:t xml:space="preserve"> This is the first release of this unit of competency in the TLI Transport and Logistics Training Package.</w:t>
            </w:r>
          </w:p>
        </w:tc>
      </w:tr>
    </w:tbl>
    <w:p w:rsidR="00931B8E" w:rsidP="000B60C1">
      <w:pPr>
        <w:pStyle w:val="NoPaddingFontSize1"/>
      </w:pPr>
    </w:p>
    <w:p w:rsidR="00931B8E" w:rsidP="000B60C1">
      <w:pPr>
        <w:pStyle w:val="NoPaddingFontSize1"/>
      </w:pPr>
    </w:p>
    <w:p w:rsidR="00000000" w:rsidRPr="000B60C1" w:rsidP="000B60C1">
      <w:pPr>
        <w:pStyle w:val="Heading1"/>
      </w:pPr>
      <w:bookmarkStart w:id="2" w:name="O_1195347"/>
      <w:bookmarkEnd w:id="2"/>
      <w:r w:rsidRPr="000B60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C1">
            <w:pPr>
              <w:pStyle w:val="BodyText"/>
              <w:rPr>
                <w:lang w:val="en-NZ"/>
              </w:rPr>
            </w:pPr>
            <w:r w:rsidRPr="000B60C1">
              <w:t>Evidence required to demonstrate competence in this unit must be relevant to and satisfy all th</w:t>
            </w:r>
            <w:r w:rsidRPr="000B60C1">
              <w:t>e requirements of the elements and performance criteria on at least one occasion and include:</w:t>
            </w:r>
          </w:p>
        </w:tc>
      </w:tr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C1" w:rsidP="000B60C1">
            <w:pPr>
              <w:pStyle w:val="ListBullet"/>
            </w:pPr>
            <w:r w:rsidRPr="000B60C1">
              <w:t>adapting to differences in equipment in accordance with standard operating procedures</w:t>
            </w:r>
          </w:p>
          <w:p w:rsidR="00000000" w:rsidRPr="000B60C1" w:rsidP="000B60C1">
            <w:pPr>
              <w:pStyle w:val="ListBullet"/>
            </w:pPr>
            <w:r w:rsidRPr="000B60C1">
              <w:t>applying relevant legislation and workplace procedures</w:t>
            </w:r>
          </w:p>
          <w:p w:rsidR="00000000" w:rsidRPr="000B60C1" w:rsidP="000B60C1">
            <w:pPr>
              <w:pStyle w:val="ListBullet"/>
            </w:pPr>
            <w:r w:rsidRPr="000B60C1">
              <w:t>communicating and negotiating effectively with others when maintaining petty cash accounts</w:t>
            </w:r>
          </w:p>
          <w:p w:rsidR="00000000" w:rsidRPr="000B60C1" w:rsidP="000B60C1">
            <w:pPr>
              <w:pStyle w:val="ListBullet"/>
            </w:pPr>
            <w:r w:rsidRPr="000B60C1">
              <w:t>completing documentation related to petty cash accounts</w:t>
            </w:r>
          </w:p>
          <w:p w:rsidR="00000000" w:rsidRPr="000B60C1" w:rsidP="000B60C1">
            <w:pPr>
              <w:pStyle w:val="ListBullet"/>
            </w:pPr>
            <w:r w:rsidRPr="000B60C1">
              <w:t>interpreting and following operational instructions and prioritising work</w:t>
            </w:r>
          </w:p>
          <w:p w:rsidR="00000000" w:rsidRPr="000B60C1" w:rsidP="000B60C1">
            <w:pPr>
              <w:pStyle w:val="ListBullet"/>
            </w:pPr>
            <w:r w:rsidRPr="000B60C1">
              <w:t>monitoring work activities in terms</w:t>
            </w:r>
            <w:r w:rsidRPr="000B60C1">
              <w:t xml:space="preserve"> of planned schedule</w:t>
            </w:r>
          </w:p>
          <w:p w:rsidR="00000000" w:rsidRPr="000B60C1" w:rsidP="000B60C1">
            <w:pPr>
              <w:pStyle w:val="ListBullet"/>
            </w:pPr>
            <w:r w:rsidRPr="000B60C1">
              <w:t>reading and interpreting instructions and procedures relevant to petty cash accounts</w:t>
            </w:r>
          </w:p>
          <w:p w:rsidR="00000000" w:rsidRPr="000B60C1" w:rsidP="000B60C1">
            <w:pPr>
              <w:pStyle w:val="ListBullet"/>
            </w:pPr>
            <w:r w:rsidRPr="000B60C1">
              <w:t>reporting and/or rectifying identified problems promptly in accordance with regulatory requirements and workplace procedures</w:t>
            </w:r>
          </w:p>
          <w:p w:rsidR="00000000" w:rsidRPr="000B60C1" w:rsidP="000B60C1">
            <w:pPr>
              <w:pStyle w:val="ListBullet"/>
            </w:pPr>
            <w:r w:rsidRPr="000B60C1">
              <w:t>selecting and using relev</w:t>
            </w:r>
            <w:r w:rsidRPr="000B60C1">
              <w:t>ant computer, communications and office equipment</w:t>
            </w:r>
          </w:p>
          <w:p w:rsidR="00000000" w:rsidRPr="000B60C1" w:rsidP="000B60C1">
            <w:pPr>
              <w:pStyle w:val="ListBullet"/>
            </w:pPr>
            <w:r w:rsidRPr="000B60C1">
              <w:t>working collaboratively with others when maintaining petty cash accounts</w:t>
            </w:r>
          </w:p>
          <w:p w:rsidR="00000000" w:rsidRPr="000B60C1" w:rsidP="000B60C1">
            <w:pPr>
              <w:pStyle w:val="ListBullet"/>
            </w:pPr>
            <w:r w:rsidRPr="000B60C1">
              <w:t>working systematically with required attention to detail.</w:t>
            </w:r>
          </w:p>
        </w:tc>
      </w:tr>
    </w:tbl>
    <w:p w:rsidR="00931B8E" w:rsidP="000B60C1">
      <w:pPr>
        <w:pStyle w:val="NoPaddingFontSize1"/>
      </w:pPr>
    </w:p>
    <w:p w:rsidR="00931B8E" w:rsidP="000B60C1">
      <w:pPr>
        <w:pStyle w:val="NoPaddingFontSize1"/>
      </w:pPr>
    </w:p>
    <w:p w:rsidR="00000000" w:rsidRPr="000B60C1" w:rsidP="000B60C1">
      <w:pPr>
        <w:pStyle w:val="Heading1"/>
      </w:pPr>
      <w:bookmarkStart w:id="3" w:name="O_1195346"/>
      <w:bookmarkEnd w:id="3"/>
      <w:r w:rsidRPr="000B60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0C1">
            <w:pPr>
              <w:pStyle w:val="BodyText"/>
              <w:rPr>
                <w:lang w:val="en-NZ"/>
              </w:rPr>
            </w:pPr>
            <w:r w:rsidRPr="000B60C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C1" w:rsidP="000B60C1">
            <w:pPr>
              <w:pStyle w:val="ListBullet2"/>
            </w:pPr>
            <w:r w:rsidRPr="000B60C1">
              <w:t>codes of practice and regulations relevant to maintaining petty cash accounts</w:t>
            </w:r>
          </w:p>
          <w:p w:rsidR="00000000" w:rsidRPr="000B60C1" w:rsidP="000B60C1">
            <w:pPr>
              <w:pStyle w:val="ListBullet2"/>
            </w:pPr>
            <w:r w:rsidRPr="000B60C1">
              <w:t>documentation requirements for maintaining petty cash accounts</w:t>
            </w:r>
          </w:p>
          <w:p w:rsidR="00000000" w:rsidRPr="000B60C1" w:rsidP="000B60C1">
            <w:pPr>
              <w:pStyle w:val="ListBullet2"/>
            </w:pPr>
            <w:r w:rsidRPr="000B60C1">
              <w:t>focus of operation of work systems, equipment, management and site operating systems for maintaining petty cash accounts</w:t>
            </w:r>
          </w:p>
          <w:p w:rsidR="00000000" w:rsidRPr="000B60C1" w:rsidP="000B60C1">
            <w:pPr>
              <w:pStyle w:val="ListBullet2"/>
            </w:pPr>
            <w:r w:rsidRPr="000B60C1">
              <w:t>instrume</w:t>
            </w:r>
            <w:r w:rsidRPr="000B60C1">
              <w:t>nts of payment, including letters of credit, cheques, promissory notes and bank drafts</w:t>
            </w:r>
          </w:p>
          <w:p w:rsidR="00000000" w:rsidRPr="000B60C1" w:rsidP="000B60C1">
            <w:pPr>
              <w:pStyle w:val="ListBullet2"/>
            </w:pPr>
            <w:r w:rsidRPr="000B60C1">
              <w:t xml:space="preserve">problems that may occur when maintaining petty cash accounts and appropriate action </w:t>
            </w:r>
            <w:r w:rsidRPr="000B60C1">
              <w:t>that can be taken to resolve these problems</w:t>
            </w:r>
          </w:p>
          <w:p w:rsidR="00000000" w:rsidRPr="000B60C1" w:rsidP="000B60C1">
            <w:pPr>
              <w:pStyle w:val="ListBullet2"/>
            </w:pPr>
            <w:r w:rsidRPr="000B60C1">
              <w:t>workplace procedures and policies for mai</w:t>
            </w:r>
            <w:r w:rsidRPr="000B60C1">
              <w:t>ntaining petty cash accounts.</w:t>
            </w:r>
          </w:p>
        </w:tc>
      </w:tr>
    </w:tbl>
    <w:p w:rsidR="00931B8E" w:rsidP="000B60C1">
      <w:pPr>
        <w:pStyle w:val="NoPaddingFontSize1"/>
      </w:pPr>
    </w:p>
    <w:p w:rsidR="00931B8E" w:rsidP="000B60C1">
      <w:pPr>
        <w:pStyle w:val="NoPaddingFontSize1"/>
      </w:pPr>
    </w:p>
    <w:p w:rsidR="00000000" w:rsidRPr="000B60C1" w:rsidP="000B60C1">
      <w:pPr>
        <w:pStyle w:val="Heading1"/>
      </w:pPr>
      <w:bookmarkStart w:id="4" w:name="O_1195345"/>
      <w:bookmarkEnd w:id="4"/>
      <w:r w:rsidRPr="000B60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60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0C1" w:rsidP="000B60C1">
            <w:pPr>
              <w:pStyle w:val="BodyText"/>
            </w:pPr>
            <w:r w:rsidRPr="000B60C1">
              <w:t xml:space="preserve">Assessors must hold credentials specified within the Standards for Registered Training Organisations current at the time of assessment. </w:t>
            </w:r>
          </w:p>
          <w:p w:rsidR="00000000" w:rsidRPr="000B60C1" w:rsidP="000B60C1">
            <w:pPr>
              <w:pStyle w:val="BodyText"/>
            </w:pPr>
            <w:r w:rsidRPr="000B60C1">
              <w:t>Assessment must satisfy the Principles of Ass</w:t>
            </w:r>
            <w:r w:rsidRPr="000B60C1">
              <w:t>essment and Rules of Evidence and all regulatory requirements included within the Standards for Registered Training Organisations current at the time of assessment.</w:t>
            </w:r>
          </w:p>
          <w:p w:rsidR="00000000" w:rsidRPr="000B60C1" w:rsidP="000B60C1">
            <w:pPr>
              <w:pStyle w:val="BodyText"/>
            </w:pPr>
            <w:r w:rsidRPr="000B60C1">
              <w:t>Assessment must occur in workplace operational situations where it is appropriate to do so;</w:t>
            </w:r>
            <w:r w:rsidRPr="000B60C1">
              <w:t xml:space="preserve"> where this is not appropriate, assessment must occur in simulated workplace operational situations that replicate workplace conditions.</w:t>
            </w:r>
          </w:p>
          <w:p w:rsidR="00000000" w:rsidRPr="000B60C1" w:rsidP="000B60C1">
            <w:pPr>
              <w:pStyle w:val="BodyText"/>
            </w:pPr>
            <w:r w:rsidRPr="000B60C1">
              <w:t>Assessment processes and techniques must be appropriate to the language, literacy and numeracy requirements of the work</w:t>
            </w:r>
            <w:r w:rsidRPr="000B60C1">
              <w:t xml:space="preserve"> being performed and the needs of the candidate.</w:t>
            </w:r>
          </w:p>
          <w:p w:rsidR="00000000" w:rsidRPr="000B60C1" w:rsidP="000B60C1">
            <w:pPr>
              <w:pStyle w:val="BodyText"/>
            </w:pPr>
            <w:r w:rsidRPr="000B60C1">
              <w:t>Resources for assessment must include access to:</w:t>
            </w:r>
          </w:p>
          <w:p w:rsidR="00000000" w:rsidRPr="000B60C1" w:rsidP="000B60C1">
            <w:pPr>
              <w:pStyle w:val="ListBullet2"/>
            </w:pPr>
            <w:r w:rsidRPr="000B60C1">
              <w:t>a range of relevant exercises, case studies and/or simulations</w:t>
            </w:r>
          </w:p>
          <w:p w:rsidR="00000000" w:rsidRPr="000B60C1" w:rsidP="000B60C1">
            <w:pPr>
              <w:pStyle w:val="ListBullet2"/>
            </w:pPr>
            <w:r w:rsidRPr="000B60C1">
              <w:t>relevant and appropriate materials, tools, equipment and personal protective equipment (PPE) currently used in industry</w:t>
            </w:r>
          </w:p>
          <w:p w:rsidR="00000000" w:rsidRPr="000B60C1" w:rsidP="000B60C1">
            <w:pPr>
              <w:pStyle w:val="ListBullet2"/>
            </w:pPr>
            <w:r w:rsidRPr="000B60C1">
              <w:t>applicable documentation, including legislation, regulations, codes of practice, workplace procedures and operation manuals.</w:t>
            </w:r>
          </w:p>
        </w:tc>
      </w:tr>
    </w:tbl>
    <w:p w:rsidR="00931B8E" w:rsidP="000B60C1">
      <w:pPr>
        <w:pStyle w:val="NoPaddingFontSize1"/>
      </w:pPr>
    </w:p>
    <w:p w:rsidR="00931B8E" w:rsidP="000B60C1">
      <w:pPr>
        <w:pStyle w:val="NoPaddingFontSize1"/>
      </w:pPr>
    </w:p>
    <w:p w:rsidR="00000000" w:rsidRPr="000B60C1" w:rsidP="000B60C1">
      <w:pPr>
        <w:pStyle w:val="Heading1"/>
      </w:pPr>
      <w:bookmarkStart w:id="5" w:name="O_1195360"/>
      <w:bookmarkEnd w:id="5"/>
      <w:r w:rsidRPr="000B60C1">
        <w:t>Links</w:t>
      </w:r>
    </w:p>
    <w:p w:rsidR="00000000" w:rsidRPr="000B60C1" w:rsidP="00931B8E">
      <w:pPr>
        <w:pStyle w:val="BodyText"/>
      </w:pPr>
      <w:r w:rsidRPr="000B60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77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60C1" w:rsidP="000B60C1"/>
    <w:sectPr w:rsidSect="000B6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C1" w:rsidRPr="00931B8E" w:rsidP="00931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8E" w:rsidP="000B6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B8E" w:rsidP="000B6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1B8E" w:rsidP="000B6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0C1" w:rsidRPr="00931B8E" w:rsidP="00931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B8E" w:rsidRPr="002D2AF8" w:rsidP="000B6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TLIP2032 Maintain petty cash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31B8E" w:rsidP="000B6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63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06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6B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0C1"/>
  </w:style>
  <w:style w:type="character" w:customStyle="1" w:styleId="Heading1Char">
    <w:name w:val="Heading 1 Char"/>
    <w:basedOn w:val="DefaultParagraphFont"/>
    <w:link w:val="Heading1"/>
    <w:rsid w:val="000B6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0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0C1"/>
    <w:rPr>
      <w:b/>
      <w:spacing w:val="0"/>
    </w:rPr>
  </w:style>
  <w:style w:type="paragraph" w:styleId="ListBullet2">
    <w:name w:val="List Bullet 2"/>
    <w:basedOn w:val="List2"/>
    <w:rsid w:val="000B60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6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6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0C1"/>
    <w:rPr>
      <w:i/>
    </w:rPr>
  </w:style>
  <w:style w:type="paragraph" w:styleId="Caption">
    <w:name w:val="caption"/>
    <w:basedOn w:val="BodyText"/>
    <w:next w:val="Normal"/>
    <w:qFormat/>
    <w:rsid w:val="000B6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0C1"/>
  </w:style>
  <w:style w:type="paragraph" w:styleId="TableofFigures">
    <w:name w:val="table of figures"/>
    <w:basedOn w:val="Normal"/>
    <w:next w:val="Normal"/>
    <w:semiHidden/>
    <w:rsid w:val="000B6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0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0C1"/>
    <w:rPr>
      <w:rFonts w:ascii="Wingdings" w:hAnsi="Wingdings"/>
    </w:rPr>
  </w:style>
  <w:style w:type="paragraph" w:customStyle="1" w:styleId="TableHeading">
    <w:name w:val="Table Heading"/>
    <w:basedOn w:val="HeadingBase"/>
    <w:rsid w:val="000B6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0C1"/>
    <w:rPr>
      <w:color w:val="0033CC"/>
      <w:u w:val="none"/>
    </w:rPr>
  </w:style>
  <w:style w:type="paragraph" w:customStyle="1" w:styleId="BodyTextRight">
    <w:name w:val="Body Text Right"/>
    <w:basedOn w:val="BodyText"/>
    <w:rsid w:val="000B6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0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0C1"/>
    <w:rPr>
      <w:sz w:val="32"/>
    </w:rPr>
  </w:style>
  <w:style w:type="paragraph" w:customStyle="1" w:styleId="HeadingProcedure">
    <w:name w:val="Heading Procedure"/>
    <w:basedOn w:val="HeadingBase"/>
    <w:next w:val="Normal"/>
    <w:rsid w:val="000B6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0C1"/>
    <w:pPr>
      <w:spacing w:before="60" w:after="60"/>
    </w:pPr>
  </w:style>
  <w:style w:type="paragraph" w:styleId="ListContinue">
    <w:name w:val="List Continue"/>
    <w:basedOn w:val="List"/>
    <w:rsid w:val="000B60C1"/>
    <w:pPr>
      <w:ind w:firstLine="0"/>
    </w:pPr>
  </w:style>
  <w:style w:type="paragraph" w:customStyle="1" w:styleId="ListNote">
    <w:name w:val="List Note"/>
    <w:basedOn w:val="List"/>
    <w:rsid w:val="000B6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0C1"/>
    <w:rPr>
      <w:rFonts w:ascii="Courier New" w:hAnsi="Courier New"/>
    </w:rPr>
  </w:style>
  <w:style w:type="paragraph" w:customStyle="1" w:styleId="NoteBullet">
    <w:name w:val="Note Bullet"/>
    <w:basedOn w:val="Note"/>
    <w:rsid w:val="000B6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0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0C1"/>
    <w:rPr>
      <w:b/>
      <w:smallCaps/>
    </w:rPr>
  </w:style>
  <w:style w:type="paragraph" w:customStyle="1" w:styleId="TableListNumber">
    <w:name w:val="Table List Number"/>
    <w:basedOn w:val="ListNumber"/>
    <w:rsid w:val="000B6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0C1"/>
    <w:pPr>
      <w:numPr>
        <w:numId w:val="9"/>
      </w:numPr>
    </w:pPr>
  </w:style>
  <w:style w:type="paragraph" w:customStyle="1" w:styleId="ListAlpha2">
    <w:name w:val="List Alpha 2"/>
    <w:basedOn w:val="List2"/>
    <w:rsid w:val="000B60C1"/>
    <w:pPr>
      <w:numPr>
        <w:numId w:val="8"/>
      </w:numPr>
    </w:pPr>
  </w:style>
  <w:style w:type="paragraph" w:styleId="List2">
    <w:name w:val="List 2"/>
    <w:basedOn w:val="BodyText"/>
    <w:rsid w:val="000B6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0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0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0C1"/>
    <w:pPr>
      <w:numPr>
        <w:numId w:val="4"/>
      </w:numPr>
    </w:pPr>
  </w:style>
  <w:style w:type="paragraph" w:styleId="ListContinue2">
    <w:name w:val="List Continue 2"/>
    <w:basedOn w:val="List2"/>
    <w:rsid w:val="000B60C1"/>
    <w:pPr>
      <w:ind w:firstLine="0"/>
    </w:pPr>
  </w:style>
  <w:style w:type="paragraph" w:styleId="ListContinue3">
    <w:name w:val="List Continue 3"/>
    <w:basedOn w:val="List3"/>
    <w:rsid w:val="000B60C1"/>
    <w:pPr>
      <w:ind w:left="1021" w:firstLine="0"/>
    </w:pPr>
  </w:style>
  <w:style w:type="paragraph" w:styleId="ListContinue4">
    <w:name w:val="List Continue 4"/>
    <w:basedOn w:val="List4"/>
    <w:rsid w:val="000B60C1"/>
    <w:pPr>
      <w:ind w:firstLine="0"/>
    </w:pPr>
  </w:style>
  <w:style w:type="paragraph" w:styleId="ListContinue5">
    <w:name w:val="List Continue 5"/>
    <w:basedOn w:val="List5"/>
    <w:rsid w:val="000B60C1"/>
    <w:pPr>
      <w:ind w:firstLine="0"/>
    </w:pPr>
  </w:style>
  <w:style w:type="paragraph" w:styleId="ListNumber3">
    <w:name w:val="List Number 3"/>
    <w:basedOn w:val="List3"/>
    <w:rsid w:val="000B60C1"/>
    <w:pPr>
      <w:numPr>
        <w:numId w:val="5"/>
      </w:numPr>
    </w:pPr>
  </w:style>
  <w:style w:type="paragraph" w:styleId="ListNumber4">
    <w:name w:val="List Number 4"/>
    <w:basedOn w:val="List4"/>
    <w:rsid w:val="000B60C1"/>
    <w:pPr>
      <w:numPr>
        <w:numId w:val="6"/>
      </w:numPr>
    </w:pPr>
  </w:style>
  <w:style w:type="paragraph" w:styleId="ListNumber5">
    <w:name w:val="List Number 5"/>
    <w:basedOn w:val="List5"/>
    <w:rsid w:val="000B60C1"/>
    <w:pPr>
      <w:numPr>
        <w:numId w:val="7"/>
      </w:numPr>
    </w:pPr>
  </w:style>
  <w:style w:type="paragraph" w:styleId="BlockText">
    <w:name w:val="Block Text"/>
    <w:basedOn w:val="Normal"/>
    <w:rsid w:val="000B6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0C1"/>
    <w:rPr>
      <w:sz w:val="16"/>
      <w:vertAlign w:val="superscript"/>
    </w:rPr>
  </w:style>
  <w:style w:type="character" w:customStyle="1" w:styleId="Symbols">
    <w:name w:val="Symbols"/>
    <w:basedOn w:val="DefaultParagraphFont"/>
    <w:rsid w:val="000B60C1"/>
    <w:rPr>
      <w:rFonts w:ascii="Symbol" w:hAnsi="Symbol"/>
    </w:rPr>
  </w:style>
  <w:style w:type="character" w:customStyle="1" w:styleId="MenuOptions">
    <w:name w:val="Menu Options"/>
    <w:basedOn w:val="DefaultParagraphFont"/>
    <w:rsid w:val="000B6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0C1"/>
    <w:rPr>
      <w:b/>
    </w:rPr>
  </w:style>
  <w:style w:type="character" w:customStyle="1" w:styleId="Underlined">
    <w:name w:val="Underlined"/>
    <w:basedOn w:val="DefaultParagraphFont"/>
    <w:rsid w:val="000B60C1"/>
    <w:rPr>
      <w:u w:val="single"/>
    </w:rPr>
  </w:style>
  <w:style w:type="paragraph" w:customStyle="1" w:styleId="TableBodyTextRight">
    <w:name w:val="Table Body Text Right"/>
    <w:basedOn w:val="TableBodyText"/>
    <w:rsid w:val="000B6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0C1"/>
    <w:rPr>
      <w:sz w:val="18"/>
    </w:rPr>
  </w:style>
  <w:style w:type="paragraph" w:customStyle="1" w:styleId="BodySmallRight">
    <w:name w:val="Body Small Right"/>
    <w:basedOn w:val="BodyTextRight"/>
    <w:rsid w:val="000B60C1"/>
    <w:rPr>
      <w:sz w:val="18"/>
      <w:szCs w:val="18"/>
    </w:rPr>
  </w:style>
  <w:style w:type="paragraph" w:customStyle="1" w:styleId="MarginEdition">
    <w:name w:val="Margin Edition"/>
    <w:basedOn w:val="MarginNote"/>
    <w:rsid w:val="000B6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0C1"/>
    <w:rPr>
      <w:sz w:val="2"/>
      <w:szCs w:val="2"/>
    </w:rPr>
  </w:style>
  <w:style w:type="character" w:customStyle="1" w:styleId="Small">
    <w:name w:val="Small"/>
    <w:basedOn w:val="DefaultParagraphFont"/>
    <w:rsid w:val="000B60C1"/>
    <w:rPr>
      <w:sz w:val="16"/>
    </w:rPr>
  </w:style>
  <w:style w:type="paragraph" w:customStyle="1" w:styleId="WideTable">
    <w:name w:val="Wide Table"/>
    <w:basedOn w:val="Normal"/>
    <w:rsid w:val="000B6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0C1"/>
  </w:style>
  <w:style w:type="paragraph" w:styleId="Quote">
    <w:name w:val="Quote"/>
    <w:basedOn w:val="Heading1"/>
    <w:link w:val="QuoteChar"/>
    <w:qFormat/>
    <w:rsid w:val="000B6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0C1"/>
    <w:pPr>
      <w:pageBreakBefore/>
    </w:pPr>
  </w:style>
  <w:style w:type="paragraph" w:customStyle="1" w:styleId="Border">
    <w:name w:val="Border"/>
    <w:basedOn w:val="Normal"/>
    <w:qFormat/>
    <w:rsid w:val="000B6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0C1"/>
    <w:rPr>
      <w:u w:val="single"/>
    </w:rPr>
  </w:style>
  <w:style w:type="character" w:customStyle="1" w:styleId="BoldandItalics">
    <w:name w:val="Bold and Italics"/>
    <w:qFormat/>
    <w:rsid w:val="000B60C1"/>
    <w:rPr>
      <w:b/>
      <w:i/>
      <w:u w:val="none"/>
    </w:rPr>
  </w:style>
  <w:style w:type="paragraph" w:styleId="BalloonText">
    <w:name w:val="Balloon Text"/>
    <w:basedOn w:val="Normal"/>
    <w:link w:val="BalloonTextChar"/>
    <w:rsid w:val="000B6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0C1"/>
    <w:pPr>
      <w:spacing w:before="0" w:after="0"/>
    </w:pPr>
  </w:style>
  <w:style w:type="paragraph" w:customStyle="1" w:styleId="BodyTextBold">
    <w:name w:val="Body Text Bold"/>
    <w:basedOn w:val="BodyText"/>
    <w:qFormat/>
    <w:rsid w:val="000B60C1"/>
    <w:rPr>
      <w:b/>
    </w:rPr>
  </w:style>
  <w:style w:type="character" w:styleId="Hyperlink">
    <w:name w:val="Hyperlink"/>
    <w:basedOn w:val="DefaultParagraphFont"/>
    <w:uiPriority w:val="99"/>
    <w:unhideWhenUsed/>
    <w:rsid w:val="00931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3200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TLIP2032 Maintain petty cash account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