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C8D" w:rsidP="00892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TLIP2024 Conduct financial transactions</w:t>
      </w:r>
      <w:r>
        <w:fldChar w:fldCharType="end"/>
      </w:r>
    </w:p>
    <w:p w:rsidR="00892C8D" w:rsidP="00892C8D">
      <w:pPr>
        <w:pStyle w:val="Version"/>
        <w:sectPr w:rsidSect="00BC2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29F6" w:rsidP="00BC29F6">
      <w:pPr>
        <w:pStyle w:val="SuperHeading"/>
      </w:pPr>
      <w:r w:rsidRPr="00BC29F6">
        <w:t>TLIP2024 Conduct financial transactions</w:t>
      </w:r>
    </w:p>
    <w:p w:rsidR="00000000" w:rsidRPr="00BC29F6" w:rsidP="00BC29F6">
      <w:pPr>
        <w:pStyle w:val="Heading1"/>
      </w:pPr>
      <w:bookmarkStart w:id="1" w:name="O_1195394"/>
      <w:bookmarkEnd w:id="1"/>
      <w:r w:rsidRPr="00BC29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Release 2.</w:t>
            </w:r>
            <w:r w:rsidRPr="00BC29F6">
              <w:t xml:space="preserve"> This is the second release of this unit of competency in the TLI Transport and Logistics Training Package. </w:t>
            </w:r>
          </w:p>
          <w:p w:rsidR="00000000" w:rsidRPr="00BC29F6" w:rsidP="00BC29F6">
            <w:pPr>
              <w:pStyle w:val="ListBullet2"/>
            </w:pPr>
            <w:r w:rsidRPr="00BC29F6">
              <w:t>Minor update to unit Application</w:t>
            </w:r>
          </w:p>
          <w:p w:rsidR="00000000" w:rsidRPr="00BC29F6" w:rsidP="00BC29F6">
            <w:pPr>
              <w:pStyle w:val="ListBullet2"/>
            </w:pPr>
            <w:r w:rsidRPr="00BC29F6">
              <w:t xml:space="preserve">Minor wording changes to Performance Criteria </w:t>
            </w:r>
          </w:p>
          <w:p w:rsidR="00000000" w:rsidRPr="00BC29F6" w:rsidP="00BC29F6">
            <w:pPr>
              <w:pStyle w:val="ListBullet2"/>
            </w:pPr>
            <w:r w:rsidRPr="00BC29F6">
              <w:t>Minor update to Knowledge Evidence</w:t>
            </w:r>
          </w:p>
          <w:p w:rsidR="00000000" w:rsidP="00BC29F6">
            <w:pPr>
              <w:pStyle w:val="ListBullet2"/>
              <w:rPr>
                <w:lang w:val="en-NZ"/>
              </w:rPr>
            </w:pPr>
            <w:r w:rsidRPr="00BC29F6">
              <w:t>Update to Assessment Conditions.</w:t>
            </w:r>
          </w:p>
        </w:tc>
      </w:tr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Release 1.</w:t>
            </w:r>
            <w:r w:rsidRPr="00BC29F6">
              <w:t xml:space="preserve"> This is the first release of this unit of competency in the TLI Transport and Logistics Training Package.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2" w:name="O_1195393"/>
      <w:bookmarkEnd w:id="2"/>
      <w:r w:rsidRPr="00BC29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t>This unit involves the skills and knowledge required to conduct financial transactions.</w:t>
            </w:r>
          </w:p>
          <w:p w:rsidR="00000000" w:rsidRPr="00BC29F6" w:rsidP="00BC29F6">
            <w:pPr>
              <w:pStyle w:val="BodyText"/>
            </w:pPr>
            <w:r w:rsidRPr="00BC29F6">
              <w:t>It includes operating point of sale equipment, transacting sales, clearing register activity and maintaining sales documents. Work must be carried out in compliance wit</w:t>
            </w:r>
            <w:r w:rsidRPr="00BC29F6">
              <w:t>h relevant codes and regulations concerned with the conduct of financial transactions during the collection and delivery of valuables, secured products, documents and materials.</w:t>
            </w:r>
          </w:p>
          <w:p w:rsidR="00000000" w:rsidRPr="00BC29F6" w:rsidP="00BC29F6">
            <w:pPr>
              <w:pStyle w:val="BodyText"/>
            </w:pPr>
            <w:r w:rsidRPr="00BC29F6">
              <w:t>Work is performed under general supervision.</w:t>
            </w:r>
          </w:p>
          <w:p w:rsidR="00000000" w:rsidRPr="00BC29F6" w:rsidP="00BC29F6">
            <w:pPr>
              <w:pStyle w:val="BodyText"/>
            </w:pPr>
            <w:r w:rsidRPr="00BC29F6">
              <w:t>No licensing, legislative or cert</w:t>
            </w:r>
            <w:r w:rsidRPr="00BC29F6">
              <w:t>ification requirements apply to this unit at the time of publication.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3" w:name="O_1195392"/>
      <w:bookmarkEnd w:id="3"/>
      <w:r w:rsidRPr="00BC29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t>Not applicable.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4" w:name="O_1195391"/>
      <w:bookmarkEnd w:id="4"/>
      <w:r w:rsidRPr="00BC29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t>P - Administration and Finance.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5" w:name="O_1195390"/>
      <w:bookmarkEnd w:id="5"/>
      <w:r w:rsidRPr="00BC29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t>Not applicable.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6" w:name="O_1195389"/>
      <w:bookmarkEnd w:id="6"/>
      <w:r w:rsidRPr="00BC29F6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5"/>
        <w:gridCol w:w="2065"/>
        <w:gridCol w:w="563"/>
        <w:gridCol w:w="6504"/>
        <w:gridCol w:w="135"/>
      </w:tblGrid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ELEMENTS</w:t>
            </w:r>
          </w:p>
        </w:tc>
        <w:tc>
          <w:tcPr>
            <w:tcW w:w="70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PERFORMANCE CRITERIA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  <w:trHeight w:val="737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Elements describe the essential outcomes.</w:t>
            </w:r>
          </w:p>
        </w:tc>
        <w:tc>
          <w:tcPr>
            <w:tcW w:w="70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Performance criteria describe the performance needed to demonstrate achievement of the element.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1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Operate point of sale equipment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1.1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Point of sale equipment is operated and maintained in line with manufacturer specifications and workplace procedures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1.2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Procedure for opening cash equipment or register is followed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1.3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Adequate change is maintained for use in transactions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1.4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Sales equipment or register is closed off in accordance with workplace cash security procedures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2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Transact sale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2.1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Amount owing is calculated and customer is advised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2.2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Amount tendered in cash transactions is checked, correct change is calculated and given, and receipt/tax invoice is provided, as required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2.3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Electronic and non-cash transactions are processed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3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Clear register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3.1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Sales equipment/register is cleared and cash is transferred at required times in accordance with workplace policy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3.2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Cheques, credit and other non-cash transaction documents are handled in accordance with workplace policy and procedures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3.3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Security is maintained when handling cash in accordance with workplace security procedures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4</w:t>
            </w:r>
          </w:p>
        </w:tc>
        <w:tc>
          <w:tcPr>
            <w:tcW w:w="20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rPr>
                <w:rStyle w:val="SpecialBold"/>
              </w:rPr>
              <w:t>Maintain sales documents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4.1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Records are completed for all transactions, including refunds and no sales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4.2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t>Adequate supplies of dockets, vouchers and point of sale documents are maintained</w:t>
            </w:r>
          </w:p>
        </w:tc>
      </w:tr>
      <w:tr w:rsidTr="00BC29F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>
            <w:pPr>
              <w:pStyle w:val="BodyText"/>
              <w:keepLines w:val="0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F6">
            <w:pPr>
              <w:pStyle w:val="BodyText"/>
              <w:rPr>
                <w:lang w:val="en-NZ"/>
              </w:rPr>
            </w:pPr>
            <w:r w:rsidRPr="00BC29F6">
              <w:rPr>
                <w:rStyle w:val="SpecialBold"/>
              </w:rPr>
              <w:t>4.3</w:t>
            </w:r>
          </w:p>
        </w:tc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t>Debtor transactions are processed in line with workplace procedures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7" w:name="O_1195388"/>
      <w:bookmarkEnd w:id="7"/>
      <w:r w:rsidRPr="00BC29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t>Foundation skills essential to performance are explicit in the performance criteria of this unit of competency.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8" w:name="O_1195387"/>
      <w:bookmarkEnd w:id="8"/>
      <w:r w:rsidRPr="00BC29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t>Range is restricted to essential operating conditions and any other variables essential to the work en</w:t>
            </w:r>
            <w:r w:rsidRPr="00BC29F6">
              <w:t>vironment.</w:t>
            </w:r>
          </w:p>
          <w:p w:rsidR="00000000" w:rsidRPr="00BC29F6" w:rsidP="00BC29F6">
            <w:pPr>
              <w:pStyle w:val="BodyText"/>
            </w:pPr>
            <w:r w:rsidRPr="00BC29F6">
              <w:t>Non-essential conditions can be found in the TLI Transport and Logistics Training Package Companion Volume Implementation Guide.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9" w:name="O_1195386"/>
      <w:bookmarkEnd w:id="9"/>
      <w:r w:rsidRPr="00BC29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F6" w:rsidP="00BC29F6">
            <w:pPr>
              <w:pStyle w:val="BodyText"/>
            </w:pPr>
            <w:r w:rsidRPr="00BC29F6">
              <w:t xml:space="preserve">This unit replaces and is equivalent to TLIP2024A Conduct financial </w:t>
            </w:r>
            <w:r w:rsidRPr="00BC29F6">
              <w:t>transactions.</w:t>
            </w:r>
          </w:p>
        </w:tc>
      </w:tr>
    </w:tbl>
    <w:p w:rsidR="00892C8D" w:rsidP="00BC29F6">
      <w:pPr>
        <w:pStyle w:val="NoPaddingFontSize1"/>
      </w:pPr>
    </w:p>
    <w:p w:rsidR="00892C8D" w:rsidP="00BC29F6">
      <w:pPr>
        <w:pStyle w:val="NoPaddingFontSize1"/>
      </w:pPr>
    </w:p>
    <w:p w:rsidR="00000000" w:rsidRPr="00BC29F6" w:rsidP="00BC29F6">
      <w:pPr>
        <w:pStyle w:val="Heading1"/>
      </w:pPr>
      <w:bookmarkStart w:id="10" w:name="O_1195395"/>
      <w:bookmarkEnd w:id="10"/>
      <w:r w:rsidRPr="00BC29F6">
        <w:t>Links</w:t>
      </w:r>
    </w:p>
    <w:p w:rsidR="00000000" w:rsidRPr="00BC29F6" w:rsidP="00892C8D">
      <w:pPr>
        <w:pStyle w:val="BodyText"/>
      </w:pPr>
      <w:r w:rsidRPr="00BC2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26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29F6" w:rsidP="00BC29F6"/>
    <w:sectPr w:rsidSect="00BC29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F6" w:rsidRPr="00892C8D" w:rsidP="00892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C8D" w:rsidP="00BC2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C8D" w:rsidP="00BC2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92C8D" w:rsidP="00BC2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9F6" w:rsidRPr="00892C8D" w:rsidP="00892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C8D" w:rsidRPr="002D2AF8" w:rsidP="00BC2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TLIP2024 Conduct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92C8D" w:rsidP="00BC2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BA0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ECE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9F6"/>
  </w:style>
  <w:style w:type="character" w:customStyle="1" w:styleId="Heading1Char">
    <w:name w:val="Heading 1 Char"/>
    <w:basedOn w:val="DefaultParagraphFont"/>
    <w:link w:val="Heading1"/>
    <w:rsid w:val="00BC2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9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29F6"/>
    <w:rPr>
      <w:b/>
      <w:spacing w:val="0"/>
    </w:rPr>
  </w:style>
  <w:style w:type="paragraph" w:styleId="ListBullet2">
    <w:name w:val="List Bullet 2"/>
    <w:basedOn w:val="List2"/>
    <w:rsid w:val="00BC29F6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2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2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9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9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2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9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9F6"/>
    <w:rPr>
      <w:i/>
    </w:rPr>
  </w:style>
  <w:style w:type="paragraph" w:styleId="Caption">
    <w:name w:val="caption"/>
    <w:basedOn w:val="BodyText"/>
    <w:next w:val="Normal"/>
    <w:qFormat/>
    <w:rsid w:val="00BC2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9F6"/>
  </w:style>
  <w:style w:type="paragraph" w:styleId="TableofFigures">
    <w:name w:val="table of figures"/>
    <w:basedOn w:val="Normal"/>
    <w:next w:val="Normal"/>
    <w:semiHidden/>
    <w:rsid w:val="00BC2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9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29F6"/>
    <w:rPr>
      <w:rFonts w:ascii="Wingdings" w:hAnsi="Wingdings"/>
    </w:rPr>
  </w:style>
  <w:style w:type="paragraph" w:customStyle="1" w:styleId="TableHeading">
    <w:name w:val="Table Heading"/>
    <w:basedOn w:val="HeadingBase"/>
    <w:rsid w:val="00BC2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9F6"/>
    <w:rPr>
      <w:color w:val="0033CC"/>
      <w:u w:val="none"/>
    </w:rPr>
  </w:style>
  <w:style w:type="paragraph" w:customStyle="1" w:styleId="BodyTextRight">
    <w:name w:val="Body Text Right"/>
    <w:basedOn w:val="BodyText"/>
    <w:rsid w:val="00BC2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9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9F6"/>
    <w:rPr>
      <w:sz w:val="32"/>
    </w:rPr>
  </w:style>
  <w:style w:type="paragraph" w:customStyle="1" w:styleId="HeadingProcedure">
    <w:name w:val="Heading Procedure"/>
    <w:basedOn w:val="HeadingBase"/>
    <w:next w:val="Normal"/>
    <w:rsid w:val="00BC2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9F6"/>
    <w:pPr>
      <w:spacing w:before="60" w:after="60"/>
    </w:pPr>
  </w:style>
  <w:style w:type="paragraph" w:styleId="ListContinue">
    <w:name w:val="List Continue"/>
    <w:basedOn w:val="List"/>
    <w:rsid w:val="00BC29F6"/>
    <w:pPr>
      <w:ind w:firstLine="0"/>
    </w:pPr>
  </w:style>
  <w:style w:type="paragraph" w:customStyle="1" w:styleId="ListNote">
    <w:name w:val="List Note"/>
    <w:basedOn w:val="List"/>
    <w:rsid w:val="00BC2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9F6"/>
    <w:rPr>
      <w:rFonts w:ascii="Courier New" w:hAnsi="Courier New"/>
    </w:rPr>
  </w:style>
  <w:style w:type="paragraph" w:customStyle="1" w:styleId="NoteBullet">
    <w:name w:val="Note Bullet"/>
    <w:basedOn w:val="Note"/>
    <w:rsid w:val="00BC2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9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2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9F6"/>
    <w:rPr>
      <w:b/>
      <w:smallCaps/>
    </w:rPr>
  </w:style>
  <w:style w:type="paragraph" w:customStyle="1" w:styleId="TableListNumber">
    <w:name w:val="Table List Number"/>
    <w:basedOn w:val="ListNumber"/>
    <w:rsid w:val="00BC2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9F6"/>
    <w:pPr>
      <w:numPr>
        <w:numId w:val="8"/>
      </w:numPr>
    </w:pPr>
  </w:style>
  <w:style w:type="paragraph" w:customStyle="1" w:styleId="ListAlpha2">
    <w:name w:val="List Alpha 2"/>
    <w:basedOn w:val="List2"/>
    <w:rsid w:val="00BC29F6"/>
    <w:pPr>
      <w:numPr>
        <w:numId w:val="7"/>
      </w:numPr>
    </w:pPr>
  </w:style>
  <w:style w:type="paragraph" w:styleId="List2">
    <w:name w:val="List 2"/>
    <w:basedOn w:val="BodyText"/>
    <w:rsid w:val="00BC2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9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9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9F6"/>
    <w:pPr>
      <w:numPr>
        <w:numId w:val="3"/>
      </w:numPr>
    </w:pPr>
  </w:style>
  <w:style w:type="paragraph" w:styleId="ListContinue2">
    <w:name w:val="List Continue 2"/>
    <w:basedOn w:val="List2"/>
    <w:rsid w:val="00BC29F6"/>
    <w:pPr>
      <w:ind w:firstLine="0"/>
    </w:pPr>
  </w:style>
  <w:style w:type="paragraph" w:styleId="ListContinue3">
    <w:name w:val="List Continue 3"/>
    <w:basedOn w:val="List3"/>
    <w:rsid w:val="00BC29F6"/>
    <w:pPr>
      <w:ind w:left="1021" w:firstLine="0"/>
    </w:pPr>
  </w:style>
  <w:style w:type="paragraph" w:styleId="ListContinue4">
    <w:name w:val="List Continue 4"/>
    <w:basedOn w:val="List4"/>
    <w:rsid w:val="00BC29F6"/>
    <w:pPr>
      <w:ind w:firstLine="0"/>
    </w:pPr>
  </w:style>
  <w:style w:type="paragraph" w:styleId="ListContinue5">
    <w:name w:val="List Continue 5"/>
    <w:basedOn w:val="List5"/>
    <w:rsid w:val="00BC29F6"/>
    <w:pPr>
      <w:ind w:firstLine="0"/>
    </w:pPr>
  </w:style>
  <w:style w:type="paragraph" w:styleId="ListNumber3">
    <w:name w:val="List Number 3"/>
    <w:basedOn w:val="List3"/>
    <w:rsid w:val="00BC29F6"/>
    <w:pPr>
      <w:numPr>
        <w:numId w:val="4"/>
      </w:numPr>
    </w:pPr>
  </w:style>
  <w:style w:type="paragraph" w:styleId="ListNumber4">
    <w:name w:val="List Number 4"/>
    <w:basedOn w:val="List4"/>
    <w:rsid w:val="00BC29F6"/>
    <w:pPr>
      <w:numPr>
        <w:numId w:val="5"/>
      </w:numPr>
    </w:pPr>
  </w:style>
  <w:style w:type="paragraph" w:styleId="ListNumber5">
    <w:name w:val="List Number 5"/>
    <w:basedOn w:val="List5"/>
    <w:rsid w:val="00BC29F6"/>
    <w:pPr>
      <w:numPr>
        <w:numId w:val="6"/>
      </w:numPr>
    </w:pPr>
  </w:style>
  <w:style w:type="paragraph" w:styleId="BlockText">
    <w:name w:val="Block Text"/>
    <w:basedOn w:val="Normal"/>
    <w:rsid w:val="00BC2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9F6"/>
    <w:rPr>
      <w:sz w:val="16"/>
      <w:vertAlign w:val="superscript"/>
    </w:rPr>
  </w:style>
  <w:style w:type="character" w:customStyle="1" w:styleId="Symbols">
    <w:name w:val="Symbols"/>
    <w:basedOn w:val="DefaultParagraphFont"/>
    <w:rsid w:val="00BC29F6"/>
    <w:rPr>
      <w:rFonts w:ascii="Symbol" w:hAnsi="Symbol"/>
    </w:rPr>
  </w:style>
  <w:style w:type="character" w:customStyle="1" w:styleId="MenuOptions">
    <w:name w:val="Menu Options"/>
    <w:basedOn w:val="DefaultParagraphFont"/>
    <w:rsid w:val="00BC2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9F6"/>
    <w:rPr>
      <w:b/>
    </w:rPr>
  </w:style>
  <w:style w:type="character" w:customStyle="1" w:styleId="Underlined">
    <w:name w:val="Underlined"/>
    <w:basedOn w:val="DefaultParagraphFont"/>
    <w:rsid w:val="00BC29F6"/>
    <w:rPr>
      <w:u w:val="single"/>
    </w:rPr>
  </w:style>
  <w:style w:type="paragraph" w:customStyle="1" w:styleId="TableBodyTextRight">
    <w:name w:val="Table Body Text Right"/>
    <w:basedOn w:val="TableBodyText"/>
    <w:rsid w:val="00BC2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9F6"/>
    <w:rPr>
      <w:sz w:val="18"/>
    </w:rPr>
  </w:style>
  <w:style w:type="paragraph" w:customStyle="1" w:styleId="BodySmallRight">
    <w:name w:val="Body Small Right"/>
    <w:basedOn w:val="BodyTextRight"/>
    <w:rsid w:val="00BC29F6"/>
    <w:rPr>
      <w:sz w:val="18"/>
      <w:szCs w:val="18"/>
    </w:rPr>
  </w:style>
  <w:style w:type="paragraph" w:customStyle="1" w:styleId="MarginEdition">
    <w:name w:val="Margin Edition"/>
    <w:basedOn w:val="MarginNote"/>
    <w:rsid w:val="00BC2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9F6"/>
    <w:rPr>
      <w:sz w:val="2"/>
      <w:szCs w:val="2"/>
    </w:rPr>
  </w:style>
  <w:style w:type="character" w:customStyle="1" w:styleId="Small">
    <w:name w:val="Small"/>
    <w:basedOn w:val="DefaultParagraphFont"/>
    <w:rsid w:val="00BC29F6"/>
    <w:rPr>
      <w:sz w:val="16"/>
    </w:rPr>
  </w:style>
  <w:style w:type="paragraph" w:customStyle="1" w:styleId="WideTable">
    <w:name w:val="Wide Table"/>
    <w:basedOn w:val="Normal"/>
    <w:rsid w:val="00BC2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9F6"/>
  </w:style>
  <w:style w:type="paragraph" w:styleId="Quote">
    <w:name w:val="Quote"/>
    <w:basedOn w:val="Heading1"/>
    <w:link w:val="QuoteChar"/>
    <w:qFormat/>
    <w:rsid w:val="00BC2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9F6"/>
    <w:pPr>
      <w:pageBreakBefore/>
    </w:pPr>
  </w:style>
  <w:style w:type="paragraph" w:customStyle="1" w:styleId="Border">
    <w:name w:val="Border"/>
    <w:basedOn w:val="Normal"/>
    <w:qFormat/>
    <w:rsid w:val="00BC2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9F6"/>
    <w:rPr>
      <w:u w:val="single"/>
    </w:rPr>
  </w:style>
  <w:style w:type="character" w:customStyle="1" w:styleId="BoldandItalics">
    <w:name w:val="Bold and Italics"/>
    <w:qFormat/>
    <w:rsid w:val="00BC29F6"/>
    <w:rPr>
      <w:b/>
      <w:i/>
      <w:u w:val="none"/>
    </w:rPr>
  </w:style>
  <w:style w:type="paragraph" w:styleId="BalloonText">
    <w:name w:val="Balloon Text"/>
    <w:basedOn w:val="Normal"/>
    <w:link w:val="BalloonTextChar"/>
    <w:rsid w:val="00BC2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9F6"/>
    <w:pPr>
      <w:spacing w:before="0" w:after="0"/>
    </w:pPr>
  </w:style>
  <w:style w:type="paragraph" w:customStyle="1" w:styleId="BodyTextBold">
    <w:name w:val="Body Text Bold"/>
    <w:basedOn w:val="BodyText"/>
    <w:qFormat/>
    <w:rsid w:val="00BC29F6"/>
    <w:rPr>
      <w:b/>
    </w:rPr>
  </w:style>
  <w:style w:type="character" w:styleId="Hyperlink">
    <w:name w:val="Hyperlink"/>
    <w:basedOn w:val="DefaultParagraphFont"/>
    <w:uiPriority w:val="99"/>
    <w:unhideWhenUsed/>
    <w:rsid w:val="00892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3062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TLIP2024 Conduct financial transactions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