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66D2" w:rsidP="00C266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TLIP2024 Conduct financial transactions</w:t>
      </w:r>
      <w:r>
        <w:fldChar w:fldCharType="end"/>
      </w:r>
    </w:p>
    <w:p w:rsidR="00C266D2" w:rsidP="00C266D2">
      <w:pPr>
        <w:pStyle w:val="Version"/>
        <w:sectPr w:rsidSect="00B364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364E7" w:rsidP="00B364E7">
      <w:pPr>
        <w:pStyle w:val="SuperHeading"/>
      </w:pPr>
      <w:r w:rsidRPr="00B364E7">
        <w:t>TLIP2024 Conduct financial transactions</w:t>
      </w:r>
    </w:p>
    <w:p w:rsidR="00000000" w:rsidRPr="00B364E7" w:rsidP="00B364E7">
      <w:pPr>
        <w:pStyle w:val="Heading1"/>
      </w:pPr>
      <w:bookmarkStart w:id="1" w:name="O_1195394"/>
      <w:bookmarkEnd w:id="1"/>
      <w:r w:rsidRPr="00B364E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64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4E7" w:rsidP="00B364E7">
            <w:pPr>
              <w:pStyle w:val="BodyText"/>
            </w:pPr>
            <w:r w:rsidRPr="00B364E7">
              <w:rPr>
                <w:rStyle w:val="SpecialBold"/>
              </w:rPr>
              <w:t>Release 2.</w:t>
            </w:r>
            <w:r w:rsidRPr="00B364E7">
              <w:t xml:space="preserve"> This is the second release of this unit of competency in the TLI Transport and Logistics Training Package. </w:t>
            </w:r>
          </w:p>
          <w:p w:rsidR="00000000" w:rsidRPr="00B364E7" w:rsidP="00B364E7">
            <w:pPr>
              <w:pStyle w:val="ListBullet2"/>
            </w:pPr>
            <w:r w:rsidRPr="00B364E7">
              <w:t>Minor update to unit Application</w:t>
            </w:r>
          </w:p>
          <w:p w:rsidR="00000000" w:rsidRPr="00B364E7" w:rsidP="00B364E7">
            <w:pPr>
              <w:pStyle w:val="ListBullet2"/>
            </w:pPr>
            <w:r w:rsidRPr="00B364E7">
              <w:t xml:space="preserve">Minor wording changes to Performance Criteria </w:t>
            </w:r>
          </w:p>
          <w:p w:rsidR="00000000" w:rsidRPr="00B364E7" w:rsidP="00B364E7">
            <w:pPr>
              <w:pStyle w:val="ListBullet2"/>
            </w:pPr>
            <w:r w:rsidRPr="00B364E7">
              <w:t>Minor update to Knowledge Evidence</w:t>
            </w:r>
          </w:p>
          <w:p w:rsidR="00000000" w:rsidP="00B364E7">
            <w:pPr>
              <w:pStyle w:val="ListBullet2"/>
              <w:rPr>
                <w:lang w:val="en-NZ"/>
              </w:rPr>
            </w:pPr>
            <w:r w:rsidRPr="00B364E7">
              <w:t>Update to Assessment Conditions.</w:t>
            </w:r>
          </w:p>
        </w:tc>
      </w:tr>
      <w:tr w:rsidTr="00B364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4E7" w:rsidP="00B364E7">
            <w:pPr>
              <w:pStyle w:val="BodyText"/>
            </w:pPr>
            <w:r w:rsidRPr="00B364E7">
              <w:rPr>
                <w:rStyle w:val="SpecialBold"/>
              </w:rPr>
              <w:t>Release 1.</w:t>
            </w:r>
            <w:r w:rsidRPr="00B364E7">
              <w:t xml:space="preserve"> This is the first release of this unit of competency in the TLI Transport and Logistics Training Package.</w:t>
            </w:r>
          </w:p>
        </w:tc>
      </w:tr>
    </w:tbl>
    <w:p w:rsidR="00C266D2" w:rsidP="00B364E7">
      <w:pPr>
        <w:pStyle w:val="NoPaddingFontSize1"/>
      </w:pPr>
    </w:p>
    <w:p w:rsidR="00C266D2" w:rsidP="00B364E7">
      <w:pPr>
        <w:pStyle w:val="NoPaddingFontSize1"/>
      </w:pPr>
    </w:p>
    <w:p w:rsidR="00000000" w:rsidRPr="00B364E7" w:rsidP="00B364E7">
      <w:pPr>
        <w:pStyle w:val="Heading1"/>
      </w:pPr>
      <w:bookmarkStart w:id="2" w:name="O_1195393"/>
      <w:bookmarkEnd w:id="2"/>
      <w:r w:rsidRPr="00B364E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64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4E7" w:rsidP="00B364E7">
            <w:pPr>
              <w:pStyle w:val="BodyText"/>
            </w:pPr>
            <w:r w:rsidRPr="00B364E7">
              <w:t>This unit involves the skills and knowledge required to conduct financial transactions.</w:t>
            </w:r>
          </w:p>
          <w:p w:rsidR="00000000" w:rsidRPr="00B364E7" w:rsidP="00B364E7">
            <w:pPr>
              <w:pStyle w:val="BodyText"/>
            </w:pPr>
            <w:r w:rsidRPr="00B364E7">
              <w:t>It includes operating point of sale equipment, transacting sales, clearing register activity and maintaining sales documents. Work must be carried out in compliance wit</w:t>
            </w:r>
            <w:r w:rsidRPr="00B364E7">
              <w:t>h relevant codes and regulations concerned with the conduct of financial transactions during the collection and delivery of valuables, secured products, documents and materials.</w:t>
            </w:r>
          </w:p>
          <w:p w:rsidR="00000000" w:rsidRPr="00B364E7" w:rsidP="00B364E7">
            <w:pPr>
              <w:pStyle w:val="BodyText"/>
            </w:pPr>
            <w:r w:rsidRPr="00B364E7">
              <w:t>Work is performed under general supervision.</w:t>
            </w:r>
          </w:p>
          <w:p w:rsidR="00000000" w:rsidRPr="00B364E7" w:rsidP="00B364E7">
            <w:pPr>
              <w:pStyle w:val="BodyText"/>
            </w:pPr>
            <w:r w:rsidRPr="00B364E7">
              <w:t>No licensing, legislative or cert</w:t>
            </w:r>
            <w:r w:rsidRPr="00B364E7">
              <w:t>ification requirements apply to this unit at the time of publication.</w:t>
            </w:r>
          </w:p>
        </w:tc>
      </w:tr>
    </w:tbl>
    <w:p w:rsidR="00C266D2" w:rsidP="00B364E7">
      <w:pPr>
        <w:pStyle w:val="NoPaddingFontSize1"/>
      </w:pPr>
    </w:p>
    <w:p w:rsidR="00C266D2" w:rsidP="00B364E7">
      <w:pPr>
        <w:pStyle w:val="NoPaddingFontSize1"/>
      </w:pPr>
    </w:p>
    <w:p w:rsidR="00000000" w:rsidRPr="00B364E7" w:rsidP="00B364E7">
      <w:pPr>
        <w:pStyle w:val="Heading1"/>
      </w:pPr>
      <w:bookmarkStart w:id="3" w:name="O_1195392"/>
      <w:bookmarkEnd w:id="3"/>
      <w:r w:rsidRPr="00B364E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64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4E7" w:rsidP="00B364E7">
            <w:pPr>
              <w:pStyle w:val="BodyText"/>
            </w:pPr>
            <w:r w:rsidRPr="00B364E7">
              <w:t>Not applicable.</w:t>
            </w:r>
          </w:p>
        </w:tc>
      </w:tr>
    </w:tbl>
    <w:p w:rsidR="00C266D2" w:rsidP="00B364E7">
      <w:pPr>
        <w:pStyle w:val="NoPaddingFontSize1"/>
      </w:pPr>
    </w:p>
    <w:p w:rsidR="00C266D2" w:rsidP="00B364E7">
      <w:pPr>
        <w:pStyle w:val="NoPaddingFontSize1"/>
      </w:pPr>
    </w:p>
    <w:p w:rsidR="00000000" w:rsidRPr="00B364E7" w:rsidP="00B364E7">
      <w:pPr>
        <w:pStyle w:val="Heading1"/>
      </w:pPr>
      <w:bookmarkStart w:id="4" w:name="O_1195391"/>
      <w:bookmarkEnd w:id="4"/>
      <w:r w:rsidRPr="00B364E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64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4E7" w:rsidP="00B364E7">
            <w:pPr>
              <w:pStyle w:val="BodyText"/>
            </w:pPr>
            <w:r w:rsidRPr="00B364E7">
              <w:t>P - Administration and Finance.</w:t>
            </w:r>
          </w:p>
        </w:tc>
      </w:tr>
    </w:tbl>
    <w:p w:rsidR="00C266D2" w:rsidP="00B364E7">
      <w:pPr>
        <w:pStyle w:val="NoPaddingFontSize1"/>
      </w:pPr>
    </w:p>
    <w:p w:rsidR="00C266D2" w:rsidP="00B364E7">
      <w:pPr>
        <w:pStyle w:val="NoPaddingFontSize1"/>
      </w:pPr>
    </w:p>
    <w:p w:rsidR="00000000" w:rsidRPr="00B364E7" w:rsidP="00B364E7">
      <w:pPr>
        <w:pStyle w:val="Heading1"/>
      </w:pPr>
      <w:bookmarkStart w:id="5" w:name="O_1195390"/>
      <w:bookmarkEnd w:id="5"/>
      <w:r w:rsidRPr="00B364E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64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4E7" w:rsidP="00B364E7">
            <w:pPr>
              <w:pStyle w:val="BodyText"/>
            </w:pPr>
            <w:r w:rsidRPr="00B364E7">
              <w:t>Not applicable.</w:t>
            </w:r>
          </w:p>
        </w:tc>
      </w:tr>
    </w:tbl>
    <w:p w:rsidR="00C266D2" w:rsidP="00B364E7">
      <w:pPr>
        <w:pStyle w:val="NoPaddingFontSize1"/>
      </w:pPr>
    </w:p>
    <w:p w:rsidR="00C266D2" w:rsidP="00B364E7">
      <w:pPr>
        <w:pStyle w:val="NoPaddingFontSize1"/>
      </w:pPr>
    </w:p>
    <w:p w:rsidR="00000000" w:rsidRPr="00B364E7" w:rsidP="00B364E7">
      <w:pPr>
        <w:pStyle w:val="Heading1"/>
      </w:pPr>
      <w:bookmarkStart w:id="6" w:name="O_1195389"/>
      <w:bookmarkEnd w:id="6"/>
      <w:r w:rsidRPr="00B364E7">
        <w:t>Elements and Performance Criteria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5"/>
        <w:gridCol w:w="2065"/>
        <w:gridCol w:w="563"/>
        <w:gridCol w:w="6504"/>
        <w:gridCol w:w="135"/>
      </w:tblGrid>
      <w:tr w:rsidTr="00B364E7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5" w:type="dxa"/>
        </w:trPr>
        <w:tc>
          <w:tcPr>
            <w:tcW w:w="24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4E7" w:rsidP="00B364E7">
            <w:pPr>
              <w:pStyle w:val="BodyText"/>
            </w:pPr>
            <w:r w:rsidRPr="00B364E7">
              <w:rPr>
                <w:rStyle w:val="SpecialBold"/>
              </w:rPr>
              <w:t>ELEMENTS</w:t>
            </w:r>
          </w:p>
        </w:tc>
        <w:tc>
          <w:tcPr>
            <w:tcW w:w="70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4E7">
            <w:pPr>
              <w:pStyle w:val="BodyText"/>
              <w:rPr>
                <w:lang w:val="en-NZ"/>
              </w:rPr>
            </w:pPr>
            <w:r w:rsidRPr="00B364E7">
              <w:rPr>
                <w:rStyle w:val="SpecialBold"/>
              </w:rPr>
              <w:t>PERFORMANCE CRITERIA</w:t>
            </w:r>
          </w:p>
        </w:tc>
      </w:tr>
      <w:tr w:rsidTr="00B364E7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5" w:type="dxa"/>
          <w:trHeight w:val="737"/>
        </w:trPr>
        <w:tc>
          <w:tcPr>
            <w:tcW w:w="24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4E7">
            <w:pPr>
              <w:pStyle w:val="BodyText"/>
              <w:rPr>
                <w:lang w:val="en-NZ"/>
              </w:rPr>
            </w:pPr>
            <w:r w:rsidRPr="00B364E7">
              <w:t>Elements describe the essential outcomes.</w:t>
            </w:r>
          </w:p>
        </w:tc>
        <w:tc>
          <w:tcPr>
            <w:tcW w:w="70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4E7">
            <w:pPr>
              <w:pStyle w:val="BodyText"/>
              <w:rPr>
                <w:lang w:val="en-NZ"/>
              </w:rPr>
            </w:pPr>
            <w:r w:rsidRPr="00B364E7">
              <w:t>Performance criteria describe the performance needed to demonstrate achievement of the element.</w:t>
            </w:r>
          </w:p>
        </w:tc>
      </w:tr>
      <w:tr w:rsidTr="00B364E7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36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4E7" w:rsidP="00B364E7">
            <w:pPr>
              <w:pStyle w:val="BodyText"/>
            </w:pPr>
            <w:r w:rsidRPr="00B364E7">
              <w:rPr>
                <w:rStyle w:val="SpecialBold"/>
              </w:rPr>
              <w:t>1</w:t>
            </w:r>
          </w:p>
        </w:tc>
        <w:tc>
          <w:tcPr>
            <w:tcW w:w="206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4E7" w:rsidP="00B364E7">
            <w:pPr>
              <w:pStyle w:val="BodyText"/>
            </w:pPr>
            <w:r w:rsidRPr="00B364E7">
              <w:rPr>
                <w:rStyle w:val="SpecialBold"/>
              </w:rPr>
              <w:t>Operate point of sale equip</w:t>
            </w:r>
            <w:r w:rsidRPr="00B364E7">
              <w:rPr>
                <w:rStyle w:val="SpecialBold"/>
              </w:rPr>
              <w:t>ment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4E7">
            <w:pPr>
              <w:pStyle w:val="BodyText"/>
              <w:rPr>
                <w:lang w:val="en-NZ"/>
              </w:rPr>
            </w:pPr>
            <w:r w:rsidRPr="00B364E7">
              <w:rPr>
                <w:rStyle w:val="SpecialBold"/>
              </w:rPr>
              <w:t>1.1</w:t>
            </w:r>
          </w:p>
        </w:tc>
        <w:tc>
          <w:tcPr>
            <w:tcW w:w="6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4E7">
            <w:pPr>
              <w:pStyle w:val="BodyText"/>
              <w:rPr>
                <w:lang w:val="en-NZ"/>
              </w:rPr>
            </w:pPr>
            <w:r w:rsidRPr="00B364E7">
              <w:t>Point of sale equipment is operated and maintained in line with manufacturer specifications and workplace procedures</w:t>
            </w:r>
          </w:p>
        </w:tc>
      </w:tr>
      <w:tr w:rsidTr="00B364E7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4E7">
            <w:pPr>
              <w:pStyle w:val="BodyText"/>
              <w:keepLines w:val="0"/>
              <w:spacing w:before="0" w:after="0"/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4E7">
            <w:pPr>
              <w:pStyle w:val="BodyText"/>
              <w:rPr>
                <w:lang w:val="en-NZ"/>
              </w:rPr>
            </w:pPr>
            <w:r w:rsidRPr="00B364E7">
              <w:rPr>
                <w:rStyle w:val="SpecialBold"/>
              </w:rPr>
              <w:t>1.2</w:t>
            </w:r>
          </w:p>
        </w:tc>
        <w:tc>
          <w:tcPr>
            <w:tcW w:w="6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4E7">
            <w:pPr>
              <w:pStyle w:val="BodyText"/>
              <w:rPr>
                <w:lang w:val="en-NZ"/>
              </w:rPr>
            </w:pPr>
            <w:r w:rsidRPr="00B364E7">
              <w:t>Procedure for opening cash equipment or register is followed</w:t>
            </w:r>
          </w:p>
        </w:tc>
      </w:tr>
      <w:tr w:rsidTr="00B364E7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4E7">
            <w:pPr>
              <w:pStyle w:val="BodyText"/>
              <w:keepLines w:val="0"/>
              <w:spacing w:before="0" w:after="0"/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4E7">
            <w:pPr>
              <w:pStyle w:val="BodyText"/>
              <w:rPr>
                <w:lang w:val="en-NZ"/>
              </w:rPr>
            </w:pPr>
            <w:r w:rsidRPr="00B364E7">
              <w:rPr>
                <w:rStyle w:val="SpecialBold"/>
              </w:rPr>
              <w:t>1.3</w:t>
            </w:r>
          </w:p>
        </w:tc>
        <w:tc>
          <w:tcPr>
            <w:tcW w:w="6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4E7">
            <w:pPr>
              <w:pStyle w:val="BodyText"/>
              <w:rPr>
                <w:lang w:val="en-NZ"/>
              </w:rPr>
            </w:pPr>
            <w:r w:rsidRPr="00B364E7">
              <w:t>Adequate change is maintained for use in transactions</w:t>
            </w:r>
          </w:p>
        </w:tc>
      </w:tr>
      <w:tr w:rsidTr="00B364E7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4E7">
            <w:pPr>
              <w:pStyle w:val="BodyText"/>
              <w:keepLines w:val="0"/>
              <w:spacing w:before="0" w:after="0"/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4E7">
            <w:pPr>
              <w:pStyle w:val="BodyText"/>
              <w:rPr>
                <w:lang w:val="en-NZ"/>
              </w:rPr>
            </w:pPr>
            <w:r w:rsidRPr="00B364E7">
              <w:rPr>
                <w:rStyle w:val="SpecialBold"/>
              </w:rPr>
              <w:t>1.4</w:t>
            </w:r>
          </w:p>
        </w:tc>
        <w:tc>
          <w:tcPr>
            <w:tcW w:w="6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4E7">
            <w:pPr>
              <w:pStyle w:val="BodyText"/>
              <w:rPr>
                <w:lang w:val="en-NZ"/>
              </w:rPr>
            </w:pPr>
            <w:r w:rsidRPr="00B364E7">
              <w:t>Sales equipment or register is closed off in accordance with workplace cash security procedures</w:t>
            </w:r>
          </w:p>
        </w:tc>
      </w:tr>
      <w:tr w:rsidTr="00B364E7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36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4E7" w:rsidP="00B364E7">
            <w:pPr>
              <w:pStyle w:val="BodyText"/>
            </w:pPr>
            <w:r w:rsidRPr="00B364E7">
              <w:rPr>
                <w:rStyle w:val="SpecialBold"/>
              </w:rPr>
              <w:t>2</w:t>
            </w:r>
          </w:p>
        </w:tc>
        <w:tc>
          <w:tcPr>
            <w:tcW w:w="206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4E7" w:rsidP="00B364E7">
            <w:pPr>
              <w:pStyle w:val="BodyText"/>
            </w:pPr>
            <w:r w:rsidRPr="00B364E7">
              <w:rPr>
                <w:rStyle w:val="SpecialBold"/>
              </w:rPr>
              <w:t>Transact sale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4E7">
            <w:pPr>
              <w:pStyle w:val="BodyText"/>
              <w:rPr>
                <w:lang w:val="en-NZ"/>
              </w:rPr>
            </w:pPr>
            <w:r w:rsidRPr="00B364E7">
              <w:rPr>
                <w:rStyle w:val="SpecialBold"/>
              </w:rPr>
              <w:t>2.1</w:t>
            </w:r>
          </w:p>
        </w:tc>
        <w:tc>
          <w:tcPr>
            <w:tcW w:w="6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4E7">
            <w:pPr>
              <w:pStyle w:val="BodyText"/>
              <w:rPr>
                <w:lang w:val="en-NZ"/>
              </w:rPr>
            </w:pPr>
            <w:r w:rsidRPr="00B364E7">
              <w:t>Amount owing is calculated and customer is advised</w:t>
            </w:r>
          </w:p>
        </w:tc>
      </w:tr>
      <w:tr w:rsidTr="00B364E7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4E7">
            <w:pPr>
              <w:pStyle w:val="BodyText"/>
              <w:keepLines w:val="0"/>
              <w:spacing w:before="0" w:after="0"/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4E7">
            <w:pPr>
              <w:pStyle w:val="BodyText"/>
              <w:rPr>
                <w:lang w:val="en-NZ"/>
              </w:rPr>
            </w:pPr>
            <w:r w:rsidRPr="00B364E7">
              <w:rPr>
                <w:rStyle w:val="SpecialBold"/>
              </w:rPr>
              <w:t>2.2</w:t>
            </w:r>
          </w:p>
        </w:tc>
        <w:tc>
          <w:tcPr>
            <w:tcW w:w="6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4E7">
            <w:pPr>
              <w:pStyle w:val="BodyText"/>
              <w:rPr>
                <w:lang w:val="en-NZ"/>
              </w:rPr>
            </w:pPr>
            <w:r w:rsidRPr="00B364E7">
              <w:t>Amount tendered in cash transactions is checked, correct change is calculated and given, and receipt/tax invoice is provided, as required</w:t>
            </w:r>
          </w:p>
        </w:tc>
      </w:tr>
      <w:tr w:rsidTr="00B364E7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4E7">
            <w:pPr>
              <w:pStyle w:val="BodyText"/>
              <w:keepLines w:val="0"/>
              <w:spacing w:before="0" w:after="0"/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4E7">
            <w:pPr>
              <w:pStyle w:val="BodyText"/>
              <w:rPr>
                <w:lang w:val="en-NZ"/>
              </w:rPr>
            </w:pPr>
            <w:r w:rsidRPr="00B364E7">
              <w:rPr>
                <w:rStyle w:val="SpecialBold"/>
              </w:rPr>
              <w:t>2.3</w:t>
            </w:r>
          </w:p>
        </w:tc>
        <w:tc>
          <w:tcPr>
            <w:tcW w:w="6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4E7">
            <w:pPr>
              <w:pStyle w:val="BodyText"/>
              <w:rPr>
                <w:lang w:val="en-NZ"/>
              </w:rPr>
            </w:pPr>
            <w:r w:rsidRPr="00B364E7">
              <w:t>Electronic and non-cash transactions are processed</w:t>
            </w:r>
          </w:p>
        </w:tc>
      </w:tr>
      <w:tr w:rsidTr="00B364E7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36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4E7" w:rsidP="00B364E7">
            <w:pPr>
              <w:pStyle w:val="BodyText"/>
            </w:pPr>
            <w:r w:rsidRPr="00B364E7">
              <w:rPr>
                <w:rStyle w:val="SpecialBold"/>
              </w:rPr>
              <w:t>3</w:t>
            </w:r>
          </w:p>
        </w:tc>
        <w:tc>
          <w:tcPr>
            <w:tcW w:w="206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4E7" w:rsidP="00B364E7">
            <w:pPr>
              <w:pStyle w:val="BodyText"/>
            </w:pPr>
            <w:r w:rsidRPr="00B364E7">
              <w:rPr>
                <w:rStyle w:val="SpecialBold"/>
              </w:rPr>
              <w:t>Clear register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4E7">
            <w:pPr>
              <w:pStyle w:val="BodyText"/>
              <w:rPr>
                <w:lang w:val="en-NZ"/>
              </w:rPr>
            </w:pPr>
            <w:r w:rsidRPr="00B364E7">
              <w:rPr>
                <w:rStyle w:val="SpecialBold"/>
              </w:rPr>
              <w:t>3.1</w:t>
            </w:r>
          </w:p>
        </w:tc>
        <w:tc>
          <w:tcPr>
            <w:tcW w:w="6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4E7">
            <w:pPr>
              <w:pStyle w:val="BodyText"/>
              <w:rPr>
                <w:lang w:val="en-NZ"/>
              </w:rPr>
            </w:pPr>
            <w:r w:rsidRPr="00B364E7">
              <w:t>Sales equipment/register is cleared and cash is transferred at required times in accordance with workplace policy</w:t>
            </w:r>
          </w:p>
        </w:tc>
      </w:tr>
      <w:tr w:rsidTr="00B364E7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4E7">
            <w:pPr>
              <w:pStyle w:val="BodyText"/>
              <w:keepLines w:val="0"/>
              <w:spacing w:before="0" w:after="0"/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4E7">
            <w:pPr>
              <w:pStyle w:val="BodyText"/>
              <w:rPr>
                <w:lang w:val="en-NZ"/>
              </w:rPr>
            </w:pPr>
            <w:r w:rsidRPr="00B364E7">
              <w:rPr>
                <w:rStyle w:val="SpecialBold"/>
              </w:rPr>
              <w:t>3.2</w:t>
            </w:r>
          </w:p>
        </w:tc>
        <w:tc>
          <w:tcPr>
            <w:tcW w:w="6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4E7">
            <w:pPr>
              <w:pStyle w:val="BodyText"/>
              <w:rPr>
                <w:lang w:val="en-NZ"/>
              </w:rPr>
            </w:pPr>
            <w:r w:rsidRPr="00B364E7">
              <w:t>Cheques, credit and other non-cash transaction documents are handled in accordance with workplace policy and procedures</w:t>
            </w:r>
          </w:p>
        </w:tc>
      </w:tr>
      <w:tr w:rsidTr="00B364E7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4E7">
            <w:pPr>
              <w:pStyle w:val="BodyText"/>
              <w:keepLines w:val="0"/>
              <w:spacing w:before="0" w:after="0"/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4E7">
            <w:pPr>
              <w:pStyle w:val="BodyText"/>
              <w:rPr>
                <w:lang w:val="en-NZ"/>
              </w:rPr>
            </w:pPr>
            <w:r w:rsidRPr="00B364E7">
              <w:rPr>
                <w:rStyle w:val="SpecialBold"/>
              </w:rPr>
              <w:t>3.3</w:t>
            </w:r>
          </w:p>
        </w:tc>
        <w:tc>
          <w:tcPr>
            <w:tcW w:w="6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4E7">
            <w:pPr>
              <w:pStyle w:val="BodyText"/>
              <w:rPr>
                <w:lang w:val="en-NZ"/>
              </w:rPr>
            </w:pPr>
            <w:r w:rsidRPr="00B364E7">
              <w:t>Security is maintained when handling cash in accordance with workplace security procedures</w:t>
            </w:r>
          </w:p>
        </w:tc>
      </w:tr>
      <w:tr w:rsidTr="00B364E7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36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4E7" w:rsidP="00B364E7">
            <w:pPr>
              <w:pStyle w:val="BodyText"/>
            </w:pPr>
            <w:r w:rsidRPr="00B364E7">
              <w:rPr>
                <w:rStyle w:val="SpecialBold"/>
              </w:rPr>
              <w:t>4</w:t>
            </w:r>
          </w:p>
        </w:tc>
        <w:tc>
          <w:tcPr>
            <w:tcW w:w="206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4E7" w:rsidP="00B364E7">
            <w:pPr>
              <w:pStyle w:val="BodyText"/>
            </w:pPr>
            <w:r w:rsidRPr="00B364E7">
              <w:rPr>
                <w:rStyle w:val="SpecialBold"/>
              </w:rPr>
              <w:t>Maintain sales documents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4E7">
            <w:pPr>
              <w:pStyle w:val="BodyText"/>
              <w:rPr>
                <w:lang w:val="en-NZ"/>
              </w:rPr>
            </w:pPr>
            <w:r w:rsidRPr="00B364E7">
              <w:rPr>
                <w:rStyle w:val="SpecialBold"/>
              </w:rPr>
              <w:t>4.1</w:t>
            </w:r>
          </w:p>
        </w:tc>
        <w:tc>
          <w:tcPr>
            <w:tcW w:w="6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4E7">
            <w:pPr>
              <w:pStyle w:val="BodyText"/>
              <w:rPr>
                <w:lang w:val="en-NZ"/>
              </w:rPr>
            </w:pPr>
            <w:r w:rsidRPr="00B364E7">
              <w:t>Records are completed for all transactions, including refunds and no sales</w:t>
            </w:r>
          </w:p>
        </w:tc>
      </w:tr>
      <w:tr w:rsidTr="00B364E7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4E7">
            <w:pPr>
              <w:pStyle w:val="BodyText"/>
              <w:keepLines w:val="0"/>
              <w:spacing w:before="0" w:after="0"/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4E7">
            <w:pPr>
              <w:pStyle w:val="BodyText"/>
              <w:rPr>
                <w:lang w:val="en-NZ"/>
              </w:rPr>
            </w:pPr>
            <w:r w:rsidRPr="00B364E7">
              <w:rPr>
                <w:rStyle w:val="SpecialBold"/>
              </w:rPr>
              <w:t>4.2</w:t>
            </w:r>
          </w:p>
        </w:tc>
        <w:tc>
          <w:tcPr>
            <w:tcW w:w="6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4E7">
            <w:pPr>
              <w:pStyle w:val="BodyText"/>
              <w:rPr>
                <w:lang w:val="en-NZ"/>
              </w:rPr>
            </w:pPr>
            <w:r w:rsidRPr="00B364E7">
              <w:t>Adequate supplies of dockets, vouchers and point of sale documents are maintained</w:t>
            </w:r>
          </w:p>
        </w:tc>
      </w:tr>
      <w:tr w:rsidTr="00B364E7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4E7">
            <w:pPr>
              <w:pStyle w:val="BodyText"/>
              <w:keepLines w:val="0"/>
              <w:spacing w:before="0" w:after="0"/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4E7">
            <w:pPr>
              <w:pStyle w:val="BodyText"/>
              <w:rPr>
                <w:lang w:val="en-NZ"/>
              </w:rPr>
            </w:pPr>
            <w:r w:rsidRPr="00B364E7">
              <w:rPr>
                <w:rStyle w:val="SpecialBold"/>
              </w:rPr>
              <w:t>4.3</w:t>
            </w:r>
          </w:p>
        </w:tc>
        <w:tc>
          <w:tcPr>
            <w:tcW w:w="6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4E7" w:rsidP="00B364E7">
            <w:pPr>
              <w:pStyle w:val="BodyText"/>
            </w:pPr>
            <w:r w:rsidRPr="00B364E7">
              <w:t>Debtor transactions are processed in line with workplace procedures</w:t>
            </w:r>
          </w:p>
        </w:tc>
      </w:tr>
    </w:tbl>
    <w:p w:rsidR="00C266D2" w:rsidP="00B364E7">
      <w:pPr>
        <w:pStyle w:val="NoPaddingFontSize1"/>
      </w:pPr>
    </w:p>
    <w:p w:rsidR="00C266D2" w:rsidP="00B364E7">
      <w:pPr>
        <w:pStyle w:val="NoPaddingFontSize1"/>
      </w:pPr>
    </w:p>
    <w:p w:rsidR="00000000" w:rsidRPr="00B364E7" w:rsidP="00B364E7">
      <w:pPr>
        <w:pStyle w:val="Heading1"/>
      </w:pPr>
      <w:bookmarkStart w:id="7" w:name="O_1195388"/>
      <w:bookmarkEnd w:id="7"/>
      <w:r w:rsidRPr="00B364E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64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4E7" w:rsidP="00B364E7">
            <w:pPr>
              <w:pStyle w:val="BodyText"/>
            </w:pPr>
            <w:r w:rsidRPr="00B364E7">
              <w:t>Foundation skills essential to performance are explicit in the performance criteria of this unit of competency.</w:t>
            </w:r>
          </w:p>
        </w:tc>
      </w:tr>
    </w:tbl>
    <w:p w:rsidR="00C266D2" w:rsidP="00B364E7">
      <w:pPr>
        <w:pStyle w:val="NoPaddingFontSize1"/>
      </w:pPr>
    </w:p>
    <w:p w:rsidR="00C266D2" w:rsidP="00B364E7">
      <w:pPr>
        <w:pStyle w:val="NoPaddingFontSize1"/>
      </w:pPr>
    </w:p>
    <w:p w:rsidR="00000000" w:rsidRPr="00B364E7" w:rsidP="00B364E7">
      <w:pPr>
        <w:pStyle w:val="Heading1"/>
      </w:pPr>
      <w:bookmarkStart w:id="8" w:name="O_1195387"/>
      <w:bookmarkEnd w:id="8"/>
      <w:r w:rsidRPr="00B364E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64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4E7" w:rsidP="00B364E7">
            <w:pPr>
              <w:pStyle w:val="BodyText"/>
            </w:pPr>
            <w:r w:rsidRPr="00B364E7">
              <w:t>Range is restricted to essential operating conditions and any other variables essential to the work en</w:t>
            </w:r>
            <w:r w:rsidRPr="00B364E7">
              <w:t>vironment.</w:t>
            </w:r>
          </w:p>
          <w:p w:rsidR="00000000" w:rsidRPr="00B364E7" w:rsidP="00B364E7">
            <w:pPr>
              <w:pStyle w:val="BodyText"/>
            </w:pPr>
            <w:r w:rsidRPr="00B364E7">
              <w:t>Non-essential conditions can be found in the TLI Transport and Logistics Training Package Companion Volume Implementation Guide.</w:t>
            </w:r>
          </w:p>
        </w:tc>
      </w:tr>
    </w:tbl>
    <w:p w:rsidR="00C266D2" w:rsidP="00B364E7">
      <w:pPr>
        <w:pStyle w:val="NoPaddingFontSize1"/>
      </w:pPr>
    </w:p>
    <w:p w:rsidR="00C266D2" w:rsidP="00B364E7">
      <w:pPr>
        <w:pStyle w:val="NoPaddingFontSize1"/>
      </w:pPr>
    </w:p>
    <w:p w:rsidR="00000000" w:rsidRPr="00B364E7" w:rsidP="00B364E7">
      <w:pPr>
        <w:pStyle w:val="Heading1"/>
      </w:pPr>
      <w:bookmarkStart w:id="9" w:name="O_1195386"/>
      <w:bookmarkEnd w:id="9"/>
      <w:r w:rsidRPr="00B364E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64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4E7" w:rsidP="00B364E7">
            <w:pPr>
              <w:pStyle w:val="BodyText"/>
            </w:pPr>
            <w:r w:rsidRPr="00B364E7">
              <w:t xml:space="preserve">This unit replaces and is equivalent to TLIP2024A Conduct financial </w:t>
            </w:r>
            <w:r w:rsidRPr="00B364E7">
              <w:t>transactions.</w:t>
            </w:r>
          </w:p>
        </w:tc>
      </w:tr>
    </w:tbl>
    <w:p w:rsidR="00C266D2" w:rsidP="00B364E7">
      <w:pPr>
        <w:pStyle w:val="NoPaddingFontSize1"/>
      </w:pPr>
    </w:p>
    <w:p w:rsidR="00C266D2" w:rsidP="00B364E7">
      <w:pPr>
        <w:pStyle w:val="NoPaddingFontSize1"/>
      </w:pPr>
    </w:p>
    <w:p w:rsidR="00000000" w:rsidRPr="00B364E7" w:rsidP="00B364E7">
      <w:pPr>
        <w:pStyle w:val="Heading1"/>
      </w:pPr>
      <w:bookmarkStart w:id="10" w:name="O_1195395"/>
      <w:bookmarkEnd w:id="10"/>
      <w:r w:rsidRPr="00B364E7">
        <w:t>Links</w:t>
      </w:r>
    </w:p>
    <w:p w:rsidR="00000000" w:rsidRPr="00B364E7" w:rsidP="00C266D2">
      <w:pPr>
        <w:pStyle w:val="BodyText"/>
      </w:pPr>
      <w:r w:rsidRPr="00B364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F307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364E7" w:rsidP="00C266D2">
      <w:pPr>
        <w:pStyle w:val="BodyText"/>
        <w:sectPr w:rsidSect="00B364E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364E7" w:rsidP="00B364E7">
      <w:pPr>
        <w:pStyle w:val="SuperHeading"/>
      </w:pPr>
      <w:r w:rsidRPr="00B364E7">
        <w:t xml:space="preserve">Assessment </w:t>
      </w:r>
      <w:r w:rsidRPr="00B364E7">
        <w:t>Requirements for TLIP2024 Conduct financial transactions</w:t>
      </w:r>
    </w:p>
    <w:p w:rsidR="00000000" w:rsidRPr="00B364E7" w:rsidP="00B364E7">
      <w:pPr>
        <w:pStyle w:val="Heading1"/>
      </w:pPr>
      <w:bookmarkStart w:id="11" w:name="O_1195384"/>
      <w:bookmarkEnd w:id="11"/>
      <w:r w:rsidRPr="00B364E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64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4E7" w:rsidP="00B364E7">
            <w:pPr>
              <w:pStyle w:val="BodyText"/>
            </w:pPr>
            <w:r w:rsidRPr="00B364E7">
              <w:rPr>
                <w:rStyle w:val="SpecialBold"/>
              </w:rPr>
              <w:t>Release 2.</w:t>
            </w:r>
            <w:r w:rsidRPr="00B364E7">
              <w:t xml:space="preserve"> This is the second release of this unit of competency in the TLI Transport and Logistics Training Package. </w:t>
            </w:r>
          </w:p>
          <w:p w:rsidR="00000000" w:rsidRPr="00B364E7" w:rsidP="00B364E7">
            <w:pPr>
              <w:pStyle w:val="ListBullet2"/>
            </w:pPr>
            <w:r w:rsidRPr="00B364E7">
              <w:t>Minor update to unit Application</w:t>
            </w:r>
          </w:p>
          <w:p w:rsidR="00000000" w:rsidRPr="00B364E7" w:rsidP="00B364E7">
            <w:pPr>
              <w:pStyle w:val="ListBullet2"/>
            </w:pPr>
            <w:r w:rsidRPr="00B364E7">
              <w:t>Minor w</w:t>
            </w:r>
            <w:r w:rsidRPr="00B364E7">
              <w:t xml:space="preserve">ording changes to Performance Criteria </w:t>
            </w:r>
          </w:p>
          <w:p w:rsidR="00000000" w:rsidRPr="00B364E7" w:rsidP="00B364E7">
            <w:pPr>
              <w:pStyle w:val="ListBullet2"/>
            </w:pPr>
            <w:r w:rsidRPr="00B364E7">
              <w:t>Minor update to Knowledge Evidence</w:t>
            </w:r>
          </w:p>
          <w:p w:rsidR="00000000" w:rsidP="00B364E7">
            <w:pPr>
              <w:pStyle w:val="ListBullet2"/>
              <w:rPr>
                <w:lang w:val="en-NZ"/>
              </w:rPr>
            </w:pPr>
            <w:r w:rsidRPr="00B364E7">
              <w:t>Update to Assessment Conditions.</w:t>
            </w:r>
          </w:p>
        </w:tc>
      </w:tr>
      <w:tr w:rsidTr="00B364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4E7" w:rsidP="00B364E7">
            <w:pPr>
              <w:pStyle w:val="BodyText"/>
            </w:pPr>
            <w:r w:rsidRPr="00B364E7">
              <w:rPr>
                <w:rStyle w:val="SpecialBold"/>
              </w:rPr>
              <w:t>Release 1.</w:t>
            </w:r>
            <w:r w:rsidRPr="00B364E7">
              <w:t xml:space="preserve"> This is the first release of this unit of competency in the TLI Transport and Logistics Training Package.</w:t>
            </w:r>
          </w:p>
        </w:tc>
      </w:tr>
    </w:tbl>
    <w:p w:rsidR="00C266D2" w:rsidP="00B364E7">
      <w:pPr>
        <w:pStyle w:val="NoPaddingFontSize1"/>
      </w:pPr>
    </w:p>
    <w:p w:rsidR="00C266D2" w:rsidP="00B364E7">
      <w:pPr>
        <w:pStyle w:val="NoPaddingFontSize1"/>
      </w:pPr>
    </w:p>
    <w:p w:rsidR="00000000" w:rsidRPr="00B364E7" w:rsidP="00B364E7">
      <w:pPr>
        <w:pStyle w:val="Heading1"/>
      </w:pPr>
      <w:bookmarkStart w:id="12" w:name="O_1195383"/>
      <w:bookmarkEnd w:id="12"/>
      <w:r w:rsidRPr="00B364E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64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4E7">
            <w:pPr>
              <w:pStyle w:val="BodyText"/>
              <w:rPr>
                <w:lang w:val="en-NZ"/>
              </w:rPr>
            </w:pPr>
            <w:r w:rsidRPr="00B364E7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B364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4E7" w:rsidP="00B364E7">
            <w:pPr>
              <w:pStyle w:val="ListBullet2"/>
            </w:pPr>
            <w:r w:rsidRPr="00B364E7">
              <w:t>adapting to differences in equipment in accordance with standard operating procedures (SOPs)</w:t>
            </w:r>
          </w:p>
          <w:p w:rsidR="00000000" w:rsidRPr="00B364E7" w:rsidP="00B364E7">
            <w:pPr>
              <w:pStyle w:val="ListBullet2"/>
            </w:pPr>
            <w:r w:rsidRPr="00B364E7">
              <w:t>applying workplace procedures, relevant agreements, codes of practice or other legislative requirements</w:t>
            </w:r>
          </w:p>
          <w:p w:rsidR="00000000" w:rsidRPr="00B364E7" w:rsidP="00B364E7">
            <w:pPr>
              <w:pStyle w:val="ListBullet2"/>
            </w:pPr>
            <w:r w:rsidRPr="00B364E7">
              <w:t>communicating effectively with others when conducting financial transactions</w:t>
            </w:r>
          </w:p>
          <w:p w:rsidR="00000000" w:rsidRPr="00B364E7" w:rsidP="00B364E7">
            <w:pPr>
              <w:pStyle w:val="ListBullet2"/>
            </w:pPr>
            <w:r w:rsidRPr="00B364E7">
              <w:t>identifying and correctly using transaction equipment, processes and procedures</w:t>
            </w:r>
          </w:p>
          <w:p w:rsidR="00000000" w:rsidRPr="00B364E7" w:rsidP="00B364E7">
            <w:pPr>
              <w:pStyle w:val="ListBullet2"/>
            </w:pPr>
            <w:r w:rsidRPr="00B364E7">
              <w:t>interpreting and following operational instructions and prioritising work</w:t>
            </w:r>
          </w:p>
          <w:p w:rsidR="00000000" w:rsidRPr="00B364E7" w:rsidP="00B364E7">
            <w:pPr>
              <w:pStyle w:val="ListBullet2"/>
            </w:pPr>
            <w:r w:rsidRPr="00B364E7">
              <w:t>operating communication a</w:t>
            </w:r>
            <w:r w:rsidRPr="00B364E7">
              <w:t>nd financial equipment to required protocol</w:t>
            </w:r>
          </w:p>
          <w:p w:rsidR="00000000" w:rsidRPr="00B364E7" w:rsidP="00B364E7">
            <w:pPr>
              <w:pStyle w:val="ListBullet2"/>
            </w:pPr>
            <w:r w:rsidRPr="00B364E7">
              <w:t>reading and interpreting instructions, procedures and information relevant to conducting financial transactions</w:t>
            </w:r>
          </w:p>
          <w:p w:rsidR="00000000" w:rsidRPr="00B364E7" w:rsidP="00B364E7">
            <w:pPr>
              <w:pStyle w:val="ListBullet2"/>
            </w:pPr>
            <w:r w:rsidRPr="00B364E7">
              <w:t>transacting and completing documentation related to conducting financial transactions</w:t>
            </w:r>
          </w:p>
          <w:p w:rsidR="00000000" w:rsidRPr="00B364E7" w:rsidP="00B364E7">
            <w:pPr>
              <w:pStyle w:val="ListBullet2"/>
            </w:pPr>
            <w:r w:rsidRPr="00B364E7">
              <w:t xml:space="preserve">using correct </w:t>
            </w:r>
            <w:r w:rsidRPr="00B364E7">
              <w:t>manual handling techniques safely</w:t>
            </w:r>
          </w:p>
          <w:p w:rsidR="00000000" w:rsidRPr="00B364E7" w:rsidP="00B364E7">
            <w:pPr>
              <w:pStyle w:val="ListBullet2"/>
            </w:pPr>
            <w:r w:rsidRPr="00B364E7">
              <w:t>working collaboratively with others when conducting financial transactions</w:t>
            </w:r>
          </w:p>
          <w:p w:rsidR="00000000" w:rsidRPr="00B364E7" w:rsidP="00B364E7">
            <w:pPr>
              <w:pStyle w:val="ListBullet2"/>
            </w:pPr>
            <w:r w:rsidRPr="00B364E7">
              <w:t>working systematically with required attention to detail without injury to self or others, or damage to goods or equipment.</w:t>
            </w:r>
          </w:p>
        </w:tc>
      </w:tr>
    </w:tbl>
    <w:p w:rsidR="00C266D2" w:rsidP="00B364E7">
      <w:pPr>
        <w:pStyle w:val="NoPaddingFontSize1"/>
      </w:pPr>
    </w:p>
    <w:p w:rsidR="00C266D2" w:rsidP="00B364E7">
      <w:pPr>
        <w:pStyle w:val="NoPaddingFontSize1"/>
      </w:pPr>
    </w:p>
    <w:p w:rsidR="00000000" w:rsidRPr="00B364E7" w:rsidP="00B364E7">
      <w:pPr>
        <w:pStyle w:val="Heading1"/>
      </w:pPr>
      <w:bookmarkStart w:id="13" w:name="O_1195382"/>
      <w:bookmarkEnd w:id="13"/>
      <w:r w:rsidRPr="00B364E7">
        <w:t>K</w:t>
      </w:r>
      <w:r w:rsidRPr="00B364E7">
        <w:t>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64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4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4E7">
            <w:pPr>
              <w:pStyle w:val="BodyText"/>
              <w:rPr>
                <w:lang w:val="en-NZ"/>
              </w:rPr>
            </w:pPr>
            <w:r w:rsidRPr="00B364E7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B364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1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4E7" w:rsidP="00B364E7">
            <w:pPr>
              <w:pStyle w:val="ListBullet2"/>
            </w:pPr>
            <w:r w:rsidRPr="00B364E7">
              <w:t>implications of credit and financial institution codes of practice</w:t>
            </w:r>
          </w:p>
          <w:p w:rsidR="00000000" w:rsidRPr="00B364E7" w:rsidP="00B364E7">
            <w:pPr>
              <w:pStyle w:val="ListBullet2"/>
            </w:pPr>
            <w:r w:rsidRPr="00B364E7">
              <w:t>operational procedures for conducting direct financial transactions with customers</w:t>
            </w:r>
          </w:p>
          <w:p w:rsidR="00000000" w:rsidRPr="00B364E7" w:rsidP="00B364E7">
            <w:pPr>
              <w:pStyle w:val="ListBullet2"/>
            </w:pPr>
            <w:r w:rsidRPr="00B364E7">
              <w:t>relevant state/territory regulations and requirements related to conducting financial transactions</w:t>
            </w:r>
          </w:p>
          <w:p w:rsidR="00000000" w:rsidRPr="00B364E7" w:rsidP="00B364E7">
            <w:pPr>
              <w:pStyle w:val="ListBullet2"/>
            </w:pPr>
            <w:r w:rsidRPr="00B364E7">
              <w:t>require</w:t>
            </w:r>
            <w:r w:rsidRPr="00B364E7">
              <w:t>ments of work systems, operations and relevant equipment</w:t>
            </w:r>
          </w:p>
          <w:p w:rsidR="00000000" w:rsidRPr="00B364E7" w:rsidP="00B364E7">
            <w:pPr>
              <w:pStyle w:val="ListBullet2"/>
            </w:pPr>
            <w:r w:rsidRPr="00B364E7">
              <w:t>risks and hazards when carrying out transactions and related precautions to control security threats</w:t>
            </w:r>
          </w:p>
          <w:p w:rsidR="00000000" w:rsidRPr="00B364E7" w:rsidP="00B364E7">
            <w:pPr>
              <w:pStyle w:val="ListBullet2"/>
            </w:pPr>
            <w:r w:rsidRPr="00B364E7">
              <w:t>typical problems that occur when conducting financial transactions and appropriate solutions.</w:t>
            </w:r>
          </w:p>
        </w:tc>
      </w:tr>
    </w:tbl>
    <w:p w:rsidR="00C266D2" w:rsidP="00B364E7">
      <w:pPr>
        <w:pStyle w:val="NoPaddingFontSize1"/>
      </w:pPr>
    </w:p>
    <w:p w:rsidR="00C266D2" w:rsidP="00B364E7">
      <w:pPr>
        <w:pStyle w:val="NoPaddingFontSize1"/>
      </w:pPr>
    </w:p>
    <w:p w:rsidR="00000000" w:rsidRPr="00B364E7" w:rsidP="00B364E7">
      <w:pPr>
        <w:pStyle w:val="Heading1"/>
      </w:pPr>
      <w:bookmarkStart w:id="14" w:name="O_1195381"/>
      <w:bookmarkEnd w:id="14"/>
      <w:r w:rsidRPr="00B364E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64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4E7" w:rsidP="00B364E7">
            <w:pPr>
              <w:pStyle w:val="BodyText"/>
            </w:pPr>
            <w:r w:rsidRPr="00B364E7">
              <w:t xml:space="preserve">Assessors must hold credentials specified within the Standards for Registered Training Organisations current at the time of assessment. </w:t>
            </w:r>
          </w:p>
          <w:p w:rsidR="00000000" w:rsidRPr="00B364E7" w:rsidP="00B364E7">
            <w:pPr>
              <w:pStyle w:val="BodyText"/>
            </w:pPr>
            <w:r w:rsidRPr="00B364E7">
              <w:t xml:space="preserve">Assessment must satisfy the Principles of Assessment and Rules of Evidence and </w:t>
            </w:r>
            <w:r w:rsidRPr="00B364E7">
              <w:t>all regulatory requirements included within the Standards for Registered Training Organisations current at the time of assessment.</w:t>
            </w:r>
          </w:p>
          <w:p w:rsidR="00000000" w:rsidRPr="00B364E7" w:rsidP="00B364E7">
            <w:pPr>
              <w:pStyle w:val="BodyText"/>
            </w:pPr>
            <w:r w:rsidRPr="00B364E7">
              <w:t>Assessment must occur in workplace operational situations where it is appropriate to do so; where this is not appropriate, as</w:t>
            </w:r>
            <w:r w:rsidRPr="00B364E7">
              <w:t>sessment must occur in simulated workplace operational situations that replicate workplace conditions.</w:t>
            </w:r>
          </w:p>
          <w:p w:rsidR="00000000" w:rsidRPr="00B364E7" w:rsidP="00B364E7">
            <w:pPr>
              <w:pStyle w:val="BodyText"/>
            </w:pPr>
            <w:r w:rsidRPr="00B364E7">
              <w:t xml:space="preserve">Assessment processes and techniques must be appropriate to the language, literacy and numeracy requirements of the work being performed and the needs of </w:t>
            </w:r>
            <w:r w:rsidRPr="00B364E7">
              <w:t>the candidate.</w:t>
            </w:r>
          </w:p>
          <w:p w:rsidR="00000000" w:rsidRPr="00B364E7" w:rsidP="00B364E7">
            <w:pPr>
              <w:pStyle w:val="BodyText"/>
            </w:pPr>
            <w:r w:rsidRPr="00B364E7">
              <w:t>Resources for assessment must include access to:</w:t>
            </w:r>
          </w:p>
          <w:p w:rsidR="00000000" w:rsidRPr="00B364E7" w:rsidP="00B364E7">
            <w:pPr>
              <w:pStyle w:val="ListBullet2"/>
            </w:pPr>
            <w:r w:rsidRPr="00B364E7">
              <w:t>a range of relevant exercises, case studies and/or simulations</w:t>
            </w:r>
          </w:p>
          <w:p w:rsidR="00000000" w:rsidRPr="00B364E7" w:rsidP="00B364E7">
            <w:pPr>
              <w:pStyle w:val="ListBullet2"/>
            </w:pPr>
            <w:r w:rsidRPr="00B364E7">
              <w:t>relevant and appropriate materials, tools, equipment and personal protective equipment (PPE) currently used in industry</w:t>
            </w:r>
          </w:p>
          <w:p w:rsidR="00000000" w:rsidRPr="00B364E7" w:rsidP="00B364E7">
            <w:pPr>
              <w:pStyle w:val="ListBullet2"/>
            </w:pPr>
            <w:r w:rsidRPr="00B364E7">
              <w:t>applicab</w:t>
            </w:r>
            <w:r w:rsidRPr="00B364E7">
              <w:t>le documentation, including legislation, regulations, codes of practice, workplace procedures and operation manuals.</w:t>
            </w:r>
          </w:p>
        </w:tc>
      </w:tr>
    </w:tbl>
    <w:p w:rsidR="00C266D2" w:rsidP="00B364E7">
      <w:pPr>
        <w:pStyle w:val="NoPaddingFontSize1"/>
      </w:pPr>
    </w:p>
    <w:p w:rsidR="00C266D2" w:rsidP="00B364E7">
      <w:pPr>
        <w:pStyle w:val="NoPaddingFontSize1"/>
      </w:pPr>
    </w:p>
    <w:p w:rsidR="00000000" w:rsidRPr="00B364E7" w:rsidP="00B364E7">
      <w:pPr>
        <w:pStyle w:val="Heading1"/>
      </w:pPr>
      <w:bookmarkStart w:id="15" w:name="O_1195396"/>
      <w:bookmarkEnd w:id="15"/>
      <w:r w:rsidRPr="00B364E7">
        <w:t>Links</w:t>
      </w:r>
    </w:p>
    <w:p w:rsidR="00000000" w:rsidRPr="00B364E7" w:rsidP="00C266D2">
      <w:pPr>
        <w:pStyle w:val="BodyText"/>
      </w:pPr>
      <w:r w:rsidRPr="00B364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F307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364E7" w:rsidP="00B364E7"/>
    <w:sectPr w:rsidSect="00B364E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4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4E7" w:rsidRPr="00C266D2" w:rsidP="00C266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4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6D2" w:rsidP="00B364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266D2" w:rsidP="00B364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266D2" w:rsidP="00B364E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4E7" w:rsidP="00B364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266D2">
      <w:t>Approved</w:t>
    </w:r>
    <w:r w:rsidR="00C266D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266D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266D2">
      <w:rPr>
        <w:noProof/>
      </w:rPr>
      <w:t>5</w:t>
    </w:r>
    <w:r>
      <w:rPr>
        <w:noProof/>
      </w:rPr>
      <w:fldChar w:fldCharType="end"/>
    </w:r>
  </w:p>
  <w:p w:rsidR="00B364E7" w:rsidP="00B364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266D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266D2">
      <w:t>Industry Skills Australia</w:t>
    </w:r>
    <w:r w:rsidR="00C266D2">
      <w:fldChar w:fldCharType="end"/>
    </w:r>
  </w:p>
  <w:p w:rsidR="00B364E7" w:rsidP="00B364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4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6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64E7" w:rsidRPr="00C266D2" w:rsidP="00C266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4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6D2" w:rsidRPr="002D2AF8" w:rsidP="00B364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TLIP2024 Conduct financial transactions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266D2" w:rsidP="00B364E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4E7" w:rsidRPr="002D2AF8" w:rsidP="00B364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266D2">
      <w:t>TLIP2024 Conduct financial transactions</w:t>
    </w:r>
    <w:r w:rsidR="00C266D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266D2">
      <w:rPr>
        <w:noProof/>
      </w:rPr>
      <w:t>2 March 2025</w:t>
    </w:r>
    <w:r>
      <w:fldChar w:fldCharType="end"/>
    </w:r>
  </w:p>
  <w:p w:rsidR="00B364E7" w:rsidP="00B364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CCB2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9ACA3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64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64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64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64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64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64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64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64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64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64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64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64E7"/>
  </w:style>
  <w:style w:type="character" w:customStyle="1" w:styleId="Heading1Char">
    <w:name w:val="Heading 1 Char"/>
    <w:basedOn w:val="DefaultParagraphFont"/>
    <w:link w:val="Heading1"/>
    <w:rsid w:val="00B364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64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64E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364E7"/>
    <w:rPr>
      <w:b/>
      <w:spacing w:val="0"/>
    </w:rPr>
  </w:style>
  <w:style w:type="paragraph" w:styleId="ListBullet2">
    <w:name w:val="List Bullet 2"/>
    <w:basedOn w:val="List2"/>
    <w:rsid w:val="00B364E7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364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64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364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64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64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64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64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64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64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64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64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64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64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64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64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64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64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64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64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64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64E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364E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364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64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64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64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64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64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64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64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64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64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64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64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64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64E7"/>
    <w:rPr>
      <w:i/>
    </w:rPr>
  </w:style>
  <w:style w:type="paragraph" w:styleId="Caption">
    <w:name w:val="caption"/>
    <w:basedOn w:val="BodyText"/>
    <w:next w:val="Normal"/>
    <w:qFormat/>
    <w:rsid w:val="00B364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64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64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64E7"/>
  </w:style>
  <w:style w:type="paragraph" w:styleId="TableofFigures">
    <w:name w:val="table of figures"/>
    <w:basedOn w:val="Normal"/>
    <w:next w:val="Normal"/>
    <w:semiHidden/>
    <w:rsid w:val="00B364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64E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364E7"/>
    <w:rPr>
      <w:rFonts w:ascii="Wingdings" w:hAnsi="Wingdings"/>
    </w:rPr>
  </w:style>
  <w:style w:type="paragraph" w:customStyle="1" w:styleId="TableHeading">
    <w:name w:val="Table Heading"/>
    <w:basedOn w:val="HeadingBase"/>
    <w:rsid w:val="00B364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64E7"/>
    <w:rPr>
      <w:color w:val="0033CC"/>
      <w:u w:val="none"/>
    </w:rPr>
  </w:style>
  <w:style w:type="paragraph" w:customStyle="1" w:styleId="BodyTextRight">
    <w:name w:val="Body Text Right"/>
    <w:basedOn w:val="BodyText"/>
    <w:rsid w:val="00B364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64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64E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64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64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64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64E7"/>
    <w:rPr>
      <w:sz w:val="32"/>
    </w:rPr>
  </w:style>
  <w:style w:type="paragraph" w:customStyle="1" w:styleId="HeadingProcedure">
    <w:name w:val="Heading Procedure"/>
    <w:basedOn w:val="HeadingBase"/>
    <w:next w:val="Normal"/>
    <w:rsid w:val="00B364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64E7"/>
    <w:pPr>
      <w:spacing w:before="60" w:after="60"/>
    </w:pPr>
  </w:style>
  <w:style w:type="paragraph" w:styleId="ListContinue">
    <w:name w:val="List Continue"/>
    <w:basedOn w:val="List"/>
    <w:rsid w:val="00B364E7"/>
    <w:pPr>
      <w:ind w:firstLine="0"/>
    </w:pPr>
  </w:style>
  <w:style w:type="paragraph" w:customStyle="1" w:styleId="ListNote">
    <w:name w:val="List Note"/>
    <w:basedOn w:val="List"/>
    <w:rsid w:val="00B364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64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64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64E7"/>
    <w:rPr>
      <w:rFonts w:ascii="Courier New" w:hAnsi="Courier New"/>
    </w:rPr>
  </w:style>
  <w:style w:type="paragraph" w:customStyle="1" w:styleId="NoteBullet">
    <w:name w:val="Note Bullet"/>
    <w:basedOn w:val="Note"/>
    <w:rsid w:val="00B364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64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64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64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64E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364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64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64E7"/>
    <w:rPr>
      <w:b/>
      <w:smallCaps/>
    </w:rPr>
  </w:style>
  <w:style w:type="paragraph" w:customStyle="1" w:styleId="TableListNumber">
    <w:name w:val="Table List Number"/>
    <w:basedOn w:val="ListNumber"/>
    <w:rsid w:val="00B364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64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64E7"/>
    <w:pPr>
      <w:numPr>
        <w:numId w:val="8"/>
      </w:numPr>
    </w:pPr>
  </w:style>
  <w:style w:type="paragraph" w:customStyle="1" w:styleId="ListAlpha2">
    <w:name w:val="List Alpha 2"/>
    <w:basedOn w:val="List2"/>
    <w:rsid w:val="00B364E7"/>
    <w:pPr>
      <w:numPr>
        <w:numId w:val="7"/>
      </w:numPr>
    </w:pPr>
  </w:style>
  <w:style w:type="paragraph" w:styleId="List2">
    <w:name w:val="List 2"/>
    <w:basedOn w:val="BodyText"/>
    <w:rsid w:val="00B364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64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64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64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64E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64E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364E7"/>
    <w:pPr>
      <w:numPr>
        <w:numId w:val="3"/>
      </w:numPr>
    </w:pPr>
  </w:style>
  <w:style w:type="paragraph" w:styleId="ListContinue2">
    <w:name w:val="List Continue 2"/>
    <w:basedOn w:val="List2"/>
    <w:rsid w:val="00B364E7"/>
    <w:pPr>
      <w:ind w:firstLine="0"/>
    </w:pPr>
  </w:style>
  <w:style w:type="paragraph" w:styleId="ListContinue3">
    <w:name w:val="List Continue 3"/>
    <w:basedOn w:val="List3"/>
    <w:rsid w:val="00B364E7"/>
    <w:pPr>
      <w:ind w:left="1021" w:firstLine="0"/>
    </w:pPr>
  </w:style>
  <w:style w:type="paragraph" w:styleId="ListContinue4">
    <w:name w:val="List Continue 4"/>
    <w:basedOn w:val="List4"/>
    <w:rsid w:val="00B364E7"/>
    <w:pPr>
      <w:ind w:firstLine="0"/>
    </w:pPr>
  </w:style>
  <w:style w:type="paragraph" w:styleId="ListContinue5">
    <w:name w:val="List Continue 5"/>
    <w:basedOn w:val="List5"/>
    <w:rsid w:val="00B364E7"/>
    <w:pPr>
      <w:ind w:firstLine="0"/>
    </w:pPr>
  </w:style>
  <w:style w:type="paragraph" w:styleId="ListNumber3">
    <w:name w:val="List Number 3"/>
    <w:basedOn w:val="List3"/>
    <w:rsid w:val="00B364E7"/>
    <w:pPr>
      <w:numPr>
        <w:numId w:val="4"/>
      </w:numPr>
    </w:pPr>
  </w:style>
  <w:style w:type="paragraph" w:styleId="ListNumber4">
    <w:name w:val="List Number 4"/>
    <w:basedOn w:val="List4"/>
    <w:rsid w:val="00B364E7"/>
    <w:pPr>
      <w:numPr>
        <w:numId w:val="5"/>
      </w:numPr>
    </w:pPr>
  </w:style>
  <w:style w:type="paragraph" w:styleId="ListNumber5">
    <w:name w:val="List Number 5"/>
    <w:basedOn w:val="List5"/>
    <w:rsid w:val="00B364E7"/>
    <w:pPr>
      <w:numPr>
        <w:numId w:val="6"/>
      </w:numPr>
    </w:pPr>
  </w:style>
  <w:style w:type="paragraph" w:styleId="BlockText">
    <w:name w:val="Block Text"/>
    <w:basedOn w:val="Normal"/>
    <w:rsid w:val="00B364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64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64E7"/>
    <w:rPr>
      <w:sz w:val="16"/>
      <w:vertAlign w:val="superscript"/>
    </w:rPr>
  </w:style>
  <w:style w:type="character" w:customStyle="1" w:styleId="Symbols">
    <w:name w:val="Symbols"/>
    <w:basedOn w:val="DefaultParagraphFont"/>
    <w:rsid w:val="00B364E7"/>
    <w:rPr>
      <w:rFonts w:ascii="Symbol" w:hAnsi="Symbol"/>
    </w:rPr>
  </w:style>
  <w:style w:type="character" w:customStyle="1" w:styleId="MenuOptions">
    <w:name w:val="Menu Options"/>
    <w:basedOn w:val="DefaultParagraphFont"/>
    <w:rsid w:val="00B364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64E7"/>
    <w:rPr>
      <w:b/>
    </w:rPr>
  </w:style>
  <w:style w:type="character" w:customStyle="1" w:styleId="Underlined">
    <w:name w:val="Underlined"/>
    <w:basedOn w:val="DefaultParagraphFont"/>
    <w:rsid w:val="00B364E7"/>
    <w:rPr>
      <w:u w:val="single"/>
    </w:rPr>
  </w:style>
  <w:style w:type="paragraph" w:customStyle="1" w:styleId="TableBodyTextRight">
    <w:name w:val="Table Body Text Right"/>
    <w:basedOn w:val="TableBodyText"/>
    <w:rsid w:val="00B364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64E7"/>
    <w:rPr>
      <w:sz w:val="18"/>
    </w:rPr>
  </w:style>
  <w:style w:type="paragraph" w:customStyle="1" w:styleId="BodySmallRight">
    <w:name w:val="Body Small Right"/>
    <w:basedOn w:val="BodyTextRight"/>
    <w:rsid w:val="00B364E7"/>
    <w:rPr>
      <w:sz w:val="18"/>
      <w:szCs w:val="18"/>
    </w:rPr>
  </w:style>
  <w:style w:type="paragraph" w:customStyle="1" w:styleId="MarginEdition">
    <w:name w:val="Margin Edition"/>
    <w:basedOn w:val="MarginNote"/>
    <w:rsid w:val="00B364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64E7"/>
    <w:rPr>
      <w:sz w:val="2"/>
      <w:szCs w:val="2"/>
    </w:rPr>
  </w:style>
  <w:style w:type="character" w:customStyle="1" w:styleId="Small">
    <w:name w:val="Small"/>
    <w:basedOn w:val="DefaultParagraphFont"/>
    <w:rsid w:val="00B364E7"/>
    <w:rPr>
      <w:sz w:val="16"/>
    </w:rPr>
  </w:style>
  <w:style w:type="paragraph" w:customStyle="1" w:styleId="WideTable">
    <w:name w:val="Wide Table"/>
    <w:basedOn w:val="Normal"/>
    <w:rsid w:val="00B364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64E7"/>
  </w:style>
  <w:style w:type="paragraph" w:styleId="Quote">
    <w:name w:val="Quote"/>
    <w:basedOn w:val="Heading1"/>
    <w:link w:val="QuoteChar"/>
    <w:qFormat/>
    <w:rsid w:val="00B364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64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64E7"/>
    <w:pPr>
      <w:pageBreakBefore/>
    </w:pPr>
  </w:style>
  <w:style w:type="paragraph" w:customStyle="1" w:styleId="Border">
    <w:name w:val="Border"/>
    <w:basedOn w:val="Normal"/>
    <w:qFormat/>
    <w:rsid w:val="00B364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64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64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64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64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64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64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64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64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64E7"/>
    <w:rPr>
      <w:u w:val="single"/>
    </w:rPr>
  </w:style>
  <w:style w:type="character" w:customStyle="1" w:styleId="BoldandItalics">
    <w:name w:val="Bold and Italics"/>
    <w:qFormat/>
    <w:rsid w:val="00B364E7"/>
    <w:rPr>
      <w:b/>
      <w:i/>
      <w:u w:val="none"/>
    </w:rPr>
  </w:style>
  <w:style w:type="paragraph" w:styleId="BalloonText">
    <w:name w:val="Balloon Text"/>
    <w:basedOn w:val="Normal"/>
    <w:link w:val="BalloonTextChar"/>
    <w:rsid w:val="00B364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64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64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64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64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64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64E7"/>
    <w:pPr>
      <w:spacing w:before="0" w:after="0"/>
    </w:pPr>
  </w:style>
  <w:style w:type="paragraph" w:customStyle="1" w:styleId="BodyTextBold">
    <w:name w:val="Body Text Bold"/>
    <w:basedOn w:val="BodyText"/>
    <w:qFormat/>
    <w:rsid w:val="00B364E7"/>
    <w:rPr>
      <w:b/>
    </w:rPr>
  </w:style>
  <w:style w:type="character" w:styleId="Hyperlink">
    <w:name w:val="Hyperlink"/>
    <w:basedOn w:val="DefaultParagraphFont"/>
    <w:uiPriority w:val="99"/>
    <w:unhideWhenUsed/>
    <w:rsid w:val="00C266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962</Words>
  <Characters>6308</Characters>
  <Application>Microsoft Office Word</Application>
  <DocSecurity>0</DocSecurity>
  <Lines>210</Lines>
  <Paragraphs>129</Paragraphs>
  <ScaleCrop>false</ScaleCrop>
  <Company>Author-it Software Corporation Ltd.</Company>
  <LinksUpToDate>false</LinksUpToDate>
  <CharactersWithSpaces>7141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TLIP2024 Conduct financial transactions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2025-03-02T02:46:00Z</dcterms:created>
  <dcterms:modified xsi:type="dcterms:W3CDTF">2025-03-02T02:46:00Z</dcterms:modified>
</cp:coreProperties>
</file>