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315" w:rsidP="00BE2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TLIP0011 Monitor warehouse operations</w:t>
      </w:r>
      <w:r>
        <w:fldChar w:fldCharType="end"/>
      </w:r>
    </w:p>
    <w:p w:rsidR="00BE2315" w:rsidP="00BE2315">
      <w:pPr>
        <w:pStyle w:val="Version"/>
        <w:sectPr w:rsidSect="00E67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295" w:rsidP="00E67295">
      <w:pPr>
        <w:pStyle w:val="SuperHeading"/>
      </w:pPr>
      <w:r w:rsidRPr="00E67295">
        <w:t>TLIP0011 Monitor warehouse operations</w:t>
      </w:r>
    </w:p>
    <w:p w:rsidR="00000000" w:rsidRPr="00E67295" w:rsidP="00E67295">
      <w:pPr>
        <w:pStyle w:val="Heading1"/>
      </w:pPr>
      <w:bookmarkStart w:id="1" w:name="O_1194783"/>
      <w:bookmarkEnd w:id="1"/>
      <w:r w:rsidRPr="00E672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Release 1.</w:t>
            </w:r>
            <w:r w:rsidRPr="00E67295">
              <w:t xml:space="preserve"> This is the first release of this unit of competency in the TLI Transport and Logistics Training Package.</w:t>
            </w:r>
          </w:p>
        </w:tc>
      </w:tr>
    </w:tbl>
    <w:p w:rsidR="00BE2315" w:rsidP="00E67295">
      <w:pPr>
        <w:pStyle w:val="NoPaddingFontSize1"/>
      </w:pPr>
    </w:p>
    <w:p w:rsidR="00BE2315" w:rsidP="00E67295">
      <w:pPr>
        <w:pStyle w:val="NoPaddingFontSize1"/>
      </w:pPr>
    </w:p>
    <w:p w:rsidR="00000000" w:rsidRPr="00E67295" w:rsidP="00E67295">
      <w:pPr>
        <w:pStyle w:val="Heading1"/>
      </w:pPr>
      <w:bookmarkStart w:id="2" w:name="O_1194784"/>
      <w:bookmarkEnd w:id="2"/>
      <w:r w:rsidRPr="00E672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t>This unit involves the skills and knowledge required to monitor warehouse operations</w:t>
            </w:r>
            <w:r w:rsidRPr="00E67295">
              <w:t>.</w:t>
            </w:r>
          </w:p>
          <w:p w:rsidR="00000000" w:rsidRPr="00E67295" w:rsidP="00E67295">
            <w:pPr>
              <w:pStyle w:val="BodyText"/>
            </w:pPr>
            <w:r w:rsidRPr="00E67295">
              <w:t>It includes determining functions and operational monitoring requirements; identifying storage variations requiring monitoring; planning monitoring schedules; and monitoring stock, plant and equipment. It also includes monitoring human resources, monitor</w:t>
            </w:r>
            <w:r w:rsidRPr="00E67295">
              <w:t>ing information technology and communications, and reporting on warehouse security.</w:t>
            </w:r>
          </w:p>
          <w:p w:rsidR="00000000" w:rsidRPr="00E67295" w:rsidP="00E67295">
            <w:pPr>
              <w:pStyle w:val="BodyText"/>
            </w:pPr>
            <w:r w:rsidRPr="00E67295">
              <w:t>Work is to be carried out in accordance with relevant workplace requirements with issues reported and potential improvements identified. Individuals work independently or a</w:t>
            </w:r>
            <w:r w:rsidRPr="00E67295">
              <w:t>s part of a team under direct and/or indirect supervision, use discretion and judgement, and take responsibility for the quality of their outputs.</w:t>
            </w:r>
          </w:p>
          <w:p w:rsidR="00000000" w:rsidRPr="00E67295" w:rsidP="00E67295">
            <w:pPr>
              <w:pStyle w:val="BodyText"/>
            </w:pPr>
            <w:r w:rsidRPr="00E67295">
              <w:t>No licensing, legislative or certification requirements apply to this unit at the time of publication.</w:t>
            </w:r>
          </w:p>
        </w:tc>
      </w:tr>
    </w:tbl>
    <w:p w:rsidR="00BE2315" w:rsidP="00E67295">
      <w:pPr>
        <w:pStyle w:val="NoPaddingFontSize1"/>
      </w:pPr>
    </w:p>
    <w:p w:rsidR="00BE2315" w:rsidP="00E67295">
      <w:pPr>
        <w:pStyle w:val="NoPaddingFontSize1"/>
      </w:pPr>
    </w:p>
    <w:p w:rsidR="00000000" w:rsidRPr="00E67295" w:rsidP="00E67295">
      <w:pPr>
        <w:pStyle w:val="Heading1"/>
      </w:pPr>
      <w:bookmarkStart w:id="3" w:name="O_1194785"/>
      <w:bookmarkEnd w:id="3"/>
      <w:r w:rsidRPr="00E672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t>Not applicable.</w:t>
            </w:r>
          </w:p>
        </w:tc>
      </w:tr>
    </w:tbl>
    <w:p w:rsidR="00BE2315" w:rsidP="00E67295">
      <w:pPr>
        <w:pStyle w:val="NoPaddingFontSize1"/>
      </w:pPr>
    </w:p>
    <w:p w:rsidR="00BE2315" w:rsidP="00E67295">
      <w:pPr>
        <w:pStyle w:val="NoPaddingFontSize1"/>
      </w:pPr>
    </w:p>
    <w:p w:rsidR="00000000" w:rsidRPr="00E67295" w:rsidP="00E67295">
      <w:pPr>
        <w:pStyle w:val="Heading1"/>
      </w:pPr>
      <w:bookmarkStart w:id="4" w:name="O_1194786"/>
      <w:bookmarkEnd w:id="4"/>
      <w:r w:rsidRPr="00E6729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t>P – Administration and Finance.</w:t>
            </w:r>
          </w:p>
        </w:tc>
      </w:tr>
    </w:tbl>
    <w:p w:rsidR="00BE2315" w:rsidP="00E67295">
      <w:pPr>
        <w:pStyle w:val="NoPaddingFontSize1"/>
      </w:pPr>
    </w:p>
    <w:p w:rsidR="00BE2315" w:rsidP="00E67295">
      <w:pPr>
        <w:pStyle w:val="NoPaddingFontSize1"/>
      </w:pPr>
    </w:p>
    <w:p w:rsidR="00000000" w:rsidRPr="00E67295" w:rsidP="00E67295">
      <w:pPr>
        <w:pStyle w:val="Heading1"/>
      </w:pPr>
      <w:bookmarkStart w:id="5" w:name="O_1194787"/>
      <w:bookmarkEnd w:id="5"/>
      <w:r w:rsidRPr="00E672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t>Not applicable.</w:t>
            </w:r>
          </w:p>
        </w:tc>
      </w:tr>
    </w:tbl>
    <w:p w:rsidR="00BE2315" w:rsidP="00E67295">
      <w:pPr>
        <w:pStyle w:val="NoPaddingFontSize1"/>
      </w:pPr>
    </w:p>
    <w:p w:rsidR="00BE2315" w:rsidP="00E67295">
      <w:pPr>
        <w:pStyle w:val="NoPaddingFontSize1"/>
      </w:pPr>
    </w:p>
    <w:p w:rsidR="00000000" w:rsidRPr="00E67295" w:rsidP="00E67295">
      <w:pPr>
        <w:pStyle w:val="Heading1"/>
      </w:pPr>
      <w:bookmarkStart w:id="6" w:name="O_1194788"/>
      <w:bookmarkEnd w:id="6"/>
      <w:r w:rsidRPr="00E67295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2964"/>
        <w:gridCol w:w="454"/>
        <w:gridCol w:w="5846"/>
      </w:tblGrid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ELEMENTS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PERFORMANCE CRITERIA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Elements describe the essential outcomes.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Performance criteria describe the performance needed to demonstrate achievement of the element.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1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 xml:space="preserve">Determine functions and operational monitoring </w:t>
            </w:r>
            <w:r w:rsidRPr="00E67295">
              <w:rPr>
                <w:rStyle w:val="SpecialBold"/>
              </w:rPr>
              <w:t>requirements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1.1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 xml:space="preserve">Applicable compliance framework sections to be monitored are determined 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1.2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Standard operating procedures (SOPs) for warehouse operations are accessed and reviewed for monitoring requirements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1.3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Own areas of responsibilit</w:t>
            </w:r>
            <w:r w:rsidRPr="00E67295">
              <w:t>y, including reporting lines for issues outside own scope of authority, are determined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2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Identify storage variations requiring monitoring</w:t>
            </w:r>
            <w:r w:rsidRPr="00E67295">
              <w:t xml:space="preserve"> </w:t>
            </w:r>
            <w:r w:rsidRPr="00E67295">
              <w:rPr>
                <w:rStyle w:val="SpecialBold"/>
              </w:rPr>
              <w:t>and plan monitoring schedule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2.1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Different types of storage variations and their key monitoring requirements are iden</w:t>
            </w:r>
            <w:r w:rsidRPr="00E67295">
              <w:t>tified and analysed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2.2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Products and goods for storage in the various storage areas are confirmed against storage requirements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2.3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Storage plans and monitoring schedules are accessed and reviewed against workplace procedures and compliance frameworks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2.4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 xml:space="preserve">Work is planned to meet the monitoring of storage variations and warehouse operations 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3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Monitor stock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3.1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Inventory and stock control principles are identified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3.2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Methods and processes are utilised for determining stock, rep</w:t>
            </w:r>
            <w:r w:rsidRPr="00E67295">
              <w:t>lenishment and reordering levels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3.3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Range of reordering methods are implemented, as appropriate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3.4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Factors that impact on reordering and stock control levels are identified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3.5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Inventory count of stock items is performed, replenishment need is determined, and stock item is reordered, as required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4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Monitor plant and equipment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4.1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Types of common material handling equipment, their purpose and availability for use is confirmed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4</w:t>
            </w:r>
            <w:r w:rsidRPr="00E67295">
              <w:rPr>
                <w:rStyle w:val="SpecialBold"/>
              </w:rPr>
              <w:t>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Storage systems commonly used in warehouses, and their functions, are identified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4.3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Correct use and load capacity of storage systems are determined in accordance with manufacturer specifications, and workplace policies and procedures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4.4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Manually-operated material handling equipment is used correctly in accordance with legislative and regulatory requirements, and workplace policies and procedures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4.5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 xml:space="preserve">Plant and equipment non-compliance is reported in accordance with risk assessments and </w:t>
            </w:r>
            <w:r w:rsidRPr="00E67295">
              <w:t xml:space="preserve">operational </w:t>
            </w:r>
            <w:r w:rsidRPr="00E67295">
              <w:t>requirements as outlined in workplace policies and procedures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5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Monitor human resources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5.1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Human resource requirements for all warehouse operational tasks are analysed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5.2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Worker availability is considered and arranged in accordance with workplace policies and procedures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5.3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Absenteeism and fitness for work is monitored, contingency plans are implemented, where appropriate, and non-compliance or concerns are actioned in a</w:t>
            </w:r>
            <w:r w:rsidRPr="00E67295">
              <w:t>ccordance with workplace policies and procedures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5.4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Worker output is monitored against operational plans and deficits are reported to appropriate personnel and in accordance with workplace procedures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5.5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Improvements to systems and processes impacting on worker outputs and to workflow is presented to appropriate personnel for consideration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6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 xml:space="preserve">Monitor </w:t>
            </w:r>
            <w:r w:rsidRPr="00E67295">
              <w:t>i</w:t>
            </w:r>
            <w:r w:rsidRPr="00E67295">
              <w:rPr>
                <w:rStyle w:val="SpecialBold"/>
              </w:rPr>
              <w:t xml:space="preserve">nformation </w:t>
            </w:r>
            <w:r w:rsidRPr="00E67295">
              <w:t>t</w:t>
            </w:r>
            <w:r w:rsidRPr="00E67295">
              <w:rPr>
                <w:rStyle w:val="SpecialBold"/>
              </w:rPr>
              <w:t>echnology and communications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6.1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Data capturing and information technology and communication s</w:t>
            </w:r>
            <w:r w:rsidRPr="00E67295">
              <w:t>ystems used in warehouse operations are identified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6.2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Impact of data capturing systems used within warehouse operations is understood and analysed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6.3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Data capturing devices are used to record inventory in warehouse operations in accordance wi</w:t>
            </w:r>
            <w:r w:rsidRPr="00E67295">
              <w:t>th workplace policies and procedures, and compliance framework requirements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6.4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Impact of information technology and communications systems used in warehouse operations is identified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6.5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Communications system is used to monitor operational activities</w:t>
            </w:r>
            <w:r w:rsidRPr="00E67295">
              <w:t xml:space="preserve"> within the warehouse 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6.6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Warehouse management systems are used to monitor flow of inventory in warehouse operations in accordance with workplace policies and procedures, and compliance framework requirements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6.7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Non-compliance is reported in accordance with workplace procedures and compliance frameworks, and contingency plans are implemented, where appropriate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7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rPr>
                <w:rStyle w:val="SpecialBold"/>
              </w:rPr>
              <w:t>Report on warehouse security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7.1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Warehouse security objectives and arrangements are understood and mon</w:t>
            </w:r>
            <w:r w:rsidRPr="00E67295">
              <w:t>itored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7.2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Inspections are implemented and monitored in accordance with workplace policies and procedures, and compliance frameworks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7.3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t>Internal and external security threats and exposures as they relate to warehouses are monitored and evaluated</w:t>
            </w:r>
          </w:p>
        </w:tc>
      </w:tr>
      <w:tr w:rsidTr="00E6729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>
            <w:pPr>
              <w:pStyle w:val="BodyText"/>
              <w:keepLines w:val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295">
            <w:pPr>
              <w:pStyle w:val="BodyText"/>
              <w:rPr>
                <w:lang w:val="en-NZ"/>
              </w:rPr>
            </w:pPr>
            <w:r w:rsidRPr="00E67295">
              <w:rPr>
                <w:rStyle w:val="SpecialBold"/>
              </w:rPr>
              <w:t>7.4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t>Security records are reviewed, contingencies implemented and measures to improve security arrangements are reported to appropriate personnel</w:t>
            </w:r>
          </w:p>
        </w:tc>
      </w:tr>
    </w:tbl>
    <w:p w:rsidR="00BE2315" w:rsidP="00E67295">
      <w:pPr>
        <w:pStyle w:val="NoPaddingFontSize1"/>
      </w:pPr>
    </w:p>
    <w:p w:rsidR="00BE2315" w:rsidP="00E67295">
      <w:pPr>
        <w:pStyle w:val="NoPaddingFontSize1"/>
      </w:pPr>
    </w:p>
    <w:p w:rsidR="00000000" w:rsidRPr="00E67295" w:rsidP="00E67295">
      <w:pPr>
        <w:pStyle w:val="Heading1"/>
      </w:pPr>
      <w:bookmarkStart w:id="7" w:name="O_1194789"/>
      <w:bookmarkEnd w:id="7"/>
      <w:r w:rsidRPr="00E672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t>Foundation skills essential to performance are explicit in the performance criteria of this unit of competency.</w:t>
            </w:r>
          </w:p>
        </w:tc>
      </w:tr>
    </w:tbl>
    <w:p w:rsidR="00BE2315" w:rsidP="00E67295">
      <w:pPr>
        <w:pStyle w:val="NoPaddingFontSize1"/>
      </w:pPr>
    </w:p>
    <w:p w:rsidR="00BE2315" w:rsidP="00E67295">
      <w:pPr>
        <w:pStyle w:val="NoPaddingFontSize1"/>
      </w:pPr>
    </w:p>
    <w:p w:rsidR="00000000" w:rsidRPr="00E67295" w:rsidP="00E67295">
      <w:pPr>
        <w:pStyle w:val="Heading1"/>
      </w:pPr>
      <w:bookmarkStart w:id="8" w:name="O_1194790"/>
      <w:bookmarkEnd w:id="8"/>
      <w:r w:rsidRPr="00E672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t>Range is restricted to essential operating conditions and any other variables essential to the work environment.</w:t>
            </w:r>
          </w:p>
          <w:p w:rsidR="00000000" w:rsidRPr="00E67295" w:rsidP="00E67295">
            <w:pPr>
              <w:pStyle w:val="BodyText"/>
            </w:pPr>
            <w:r w:rsidRPr="00E67295">
              <w:t>Non-essential conditions can be found in the TLI Transport and Logistics Training Package Companion Volume Implementation Guide.</w:t>
            </w:r>
          </w:p>
        </w:tc>
      </w:tr>
    </w:tbl>
    <w:p w:rsidR="00BE2315" w:rsidP="00E67295">
      <w:pPr>
        <w:pStyle w:val="NoPaddingFontSize1"/>
      </w:pPr>
    </w:p>
    <w:p w:rsidR="00BE2315" w:rsidP="00E67295">
      <w:pPr>
        <w:pStyle w:val="NoPaddingFontSize1"/>
      </w:pPr>
    </w:p>
    <w:p w:rsidR="00000000" w:rsidRPr="00E67295" w:rsidP="00E67295">
      <w:pPr>
        <w:pStyle w:val="Heading1"/>
      </w:pPr>
      <w:bookmarkStart w:id="9" w:name="O_1194791"/>
      <w:bookmarkEnd w:id="9"/>
      <w:r w:rsidRPr="00E672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2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295" w:rsidP="00E67295">
            <w:pPr>
              <w:pStyle w:val="BodyText"/>
            </w:pPr>
            <w:r w:rsidRPr="00E67295">
              <w:t>This unit replaces and is not equivalent to TLIP4040 Monitor warehouse operations.</w:t>
            </w:r>
          </w:p>
        </w:tc>
      </w:tr>
    </w:tbl>
    <w:p w:rsidR="00BE2315" w:rsidP="00E67295">
      <w:pPr>
        <w:pStyle w:val="NoPaddingFontSize1"/>
      </w:pPr>
    </w:p>
    <w:p w:rsidR="00BE2315" w:rsidP="00E67295">
      <w:pPr>
        <w:pStyle w:val="NoPaddingFontSize1"/>
      </w:pPr>
    </w:p>
    <w:p w:rsidR="00000000" w:rsidRPr="00E67295" w:rsidP="00E67295">
      <w:pPr>
        <w:pStyle w:val="Heading1"/>
      </w:pPr>
      <w:bookmarkStart w:id="10" w:name="O_1194798"/>
      <w:bookmarkEnd w:id="10"/>
      <w:r w:rsidRPr="00E67295">
        <w:t>Links</w:t>
      </w:r>
    </w:p>
    <w:p w:rsidR="00000000" w:rsidRPr="00E67295" w:rsidP="00BE2315">
      <w:pPr>
        <w:pStyle w:val="BodyText"/>
      </w:pPr>
      <w:r w:rsidRPr="00E672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62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67295" w:rsidP="00E67295"/>
    <w:sectPr w:rsidSect="00E672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95" w:rsidRPr="00BE2315" w:rsidP="00BE2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315" w:rsidP="00E67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2315" w:rsidP="00E67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E2315" w:rsidP="00E67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295" w:rsidRPr="00BE2315" w:rsidP="00BE2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315" w:rsidRPr="002D2AF8" w:rsidP="00E67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TLIP0011 Monitor warehouse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E2315" w:rsidP="00E67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295"/>
  </w:style>
  <w:style w:type="character" w:customStyle="1" w:styleId="Heading1Char">
    <w:name w:val="Heading 1 Char"/>
    <w:basedOn w:val="DefaultParagraphFont"/>
    <w:link w:val="Heading1"/>
    <w:rsid w:val="00E67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2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7295"/>
    <w:rPr>
      <w:b/>
      <w:spacing w:val="0"/>
    </w:rPr>
  </w:style>
  <w:style w:type="paragraph" w:customStyle="1" w:styleId="SuperHeading">
    <w:name w:val="SuperHeading"/>
    <w:basedOn w:val="Normal"/>
    <w:rsid w:val="00E67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7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2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2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2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7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2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2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295"/>
    <w:rPr>
      <w:i/>
    </w:rPr>
  </w:style>
  <w:style w:type="paragraph" w:styleId="Caption">
    <w:name w:val="caption"/>
    <w:basedOn w:val="BodyText"/>
    <w:next w:val="Normal"/>
    <w:qFormat/>
    <w:rsid w:val="00E67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295"/>
  </w:style>
  <w:style w:type="paragraph" w:styleId="TableofFigures">
    <w:name w:val="table of figures"/>
    <w:basedOn w:val="Normal"/>
    <w:next w:val="Normal"/>
    <w:semiHidden/>
    <w:rsid w:val="00E67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2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7295"/>
    <w:rPr>
      <w:rFonts w:ascii="Wingdings" w:hAnsi="Wingdings"/>
    </w:rPr>
  </w:style>
  <w:style w:type="paragraph" w:customStyle="1" w:styleId="TableHeading">
    <w:name w:val="Table Heading"/>
    <w:basedOn w:val="HeadingBase"/>
    <w:rsid w:val="00E672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295"/>
    <w:rPr>
      <w:color w:val="0033CC"/>
      <w:u w:val="none"/>
    </w:rPr>
  </w:style>
  <w:style w:type="paragraph" w:customStyle="1" w:styleId="BodyTextRight">
    <w:name w:val="Body Text Right"/>
    <w:basedOn w:val="BodyText"/>
    <w:rsid w:val="00E67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2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295"/>
    <w:rPr>
      <w:sz w:val="32"/>
    </w:rPr>
  </w:style>
  <w:style w:type="paragraph" w:customStyle="1" w:styleId="HeadingProcedure">
    <w:name w:val="Heading Procedure"/>
    <w:basedOn w:val="HeadingBase"/>
    <w:next w:val="Normal"/>
    <w:rsid w:val="00E67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295"/>
    <w:pPr>
      <w:spacing w:before="60" w:after="60"/>
    </w:pPr>
  </w:style>
  <w:style w:type="paragraph" w:styleId="ListContinue">
    <w:name w:val="List Continue"/>
    <w:basedOn w:val="List"/>
    <w:rsid w:val="00E67295"/>
    <w:pPr>
      <w:ind w:firstLine="0"/>
    </w:pPr>
  </w:style>
  <w:style w:type="paragraph" w:customStyle="1" w:styleId="ListNote">
    <w:name w:val="List Note"/>
    <w:basedOn w:val="List"/>
    <w:rsid w:val="00E67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295"/>
    <w:rPr>
      <w:rFonts w:ascii="Courier New" w:hAnsi="Courier New"/>
    </w:rPr>
  </w:style>
  <w:style w:type="paragraph" w:customStyle="1" w:styleId="NoteBullet">
    <w:name w:val="Note Bullet"/>
    <w:basedOn w:val="Note"/>
    <w:rsid w:val="00E67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2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7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295"/>
    <w:rPr>
      <w:b/>
      <w:smallCaps/>
    </w:rPr>
  </w:style>
  <w:style w:type="paragraph" w:customStyle="1" w:styleId="TableListNumber">
    <w:name w:val="Table List Number"/>
    <w:basedOn w:val="ListNumber"/>
    <w:rsid w:val="00E67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295"/>
    <w:pPr>
      <w:numPr>
        <w:numId w:val="7"/>
      </w:numPr>
    </w:pPr>
  </w:style>
  <w:style w:type="paragraph" w:customStyle="1" w:styleId="ListAlpha2">
    <w:name w:val="List Alpha 2"/>
    <w:basedOn w:val="List2"/>
    <w:rsid w:val="00E67295"/>
    <w:pPr>
      <w:numPr>
        <w:numId w:val="6"/>
      </w:numPr>
    </w:pPr>
  </w:style>
  <w:style w:type="paragraph" w:styleId="List2">
    <w:name w:val="List 2"/>
    <w:basedOn w:val="BodyText"/>
    <w:rsid w:val="00E67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2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2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7295"/>
    <w:pPr>
      <w:numPr>
        <w:numId w:val="2"/>
      </w:numPr>
    </w:pPr>
  </w:style>
  <w:style w:type="paragraph" w:styleId="ListContinue2">
    <w:name w:val="List Continue 2"/>
    <w:basedOn w:val="List2"/>
    <w:rsid w:val="00E67295"/>
    <w:pPr>
      <w:ind w:firstLine="0"/>
    </w:pPr>
  </w:style>
  <w:style w:type="paragraph" w:styleId="ListContinue3">
    <w:name w:val="List Continue 3"/>
    <w:basedOn w:val="List3"/>
    <w:rsid w:val="00E67295"/>
    <w:pPr>
      <w:ind w:left="1021" w:firstLine="0"/>
    </w:pPr>
  </w:style>
  <w:style w:type="paragraph" w:styleId="ListContinue4">
    <w:name w:val="List Continue 4"/>
    <w:basedOn w:val="List4"/>
    <w:rsid w:val="00E67295"/>
    <w:pPr>
      <w:ind w:firstLine="0"/>
    </w:pPr>
  </w:style>
  <w:style w:type="paragraph" w:styleId="ListContinue5">
    <w:name w:val="List Continue 5"/>
    <w:basedOn w:val="List5"/>
    <w:rsid w:val="00E67295"/>
    <w:pPr>
      <w:ind w:firstLine="0"/>
    </w:pPr>
  </w:style>
  <w:style w:type="paragraph" w:styleId="ListNumber3">
    <w:name w:val="List Number 3"/>
    <w:basedOn w:val="List3"/>
    <w:rsid w:val="00E67295"/>
    <w:pPr>
      <w:numPr>
        <w:numId w:val="3"/>
      </w:numPr>
    </w:pPr>
  </w:style>
  <w:style w:type="paragraph" w:styleId="ListNumber4">
    <w:name w:val="List Number 4"/>
    <w:basedOn w:val="List4"/>
    <w:rsid w:val="00E67295"/>
    <w:pPr>
      <w:numPr>
        <w:numId w:val="4"/>
      </w:numPr>
    </w:pPr>
  </w:style>
  <w:style w:type="paragraph" w:styleId="ListNumber5">
    <w:name w:val="List Number 5"/>
    <w:basedOn w:val="List5"/>
    <w:rsid w:val="00E67295"/>
    <w:pPr>
      <w:numPr>
        <w:numId w:val="5"/>
      </w:numPr>
    </w:pPr>
  </w:style>
  <w:style w:type="paragraph" w:styleId="BlockText">
    <w:name w:val="Block Text"/>
    <w:basedOn w:val="Normal"/>
    <w:rsid w:val="00E67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295"/>
    <w:rPr>
      <w:sz w:val="16"/>
      <w:vertAlign w:val="superscript"/>
    </w:rPr>
  </w:style>
  <w:style w:type="character" w:customStyle="1" w:styleId="Symbols">
    <w:name w:val="Symbols"/>
    <w:basedOn w:val="DefaultParagraphFont"/>
    <w:rsid w:val="00E67295"/>
    <w:rPr>
      <w:rFonts w:ascii="Symbol" w:hAnsi="Symbol"/>
    </w:rPr>
  </w:style>
  <w:style w:type="character" w:customStyle="1" w:styleId="MenuOptions">
    <w:name w:val="Menu Options"/>
    <w:basedOn w:val="DefaultParagraphFont"/>
    <w:rsid w:val="00E67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295"/>
    <w:rPr>
      <w:b/>
    </w:rPr>
  </w:style>
  <w:style w:type="character" w:customStyle="1" w:styleId="Underlined">
    <w:name w:val="Underlined"/>
    <w:basedOn w:val="DefaultParagraphFont"/>
    <w:rsid w:val="00E67295"/>
    <w:rPr>
      <w:u w:val="single"/>
    </w:rPr>
  </w:style>
  <w:style w:type="paragraph" w:customStyle="1" w:styleId="TableBodyTextRight">
    <w:name w:val="Table Body Text Right"/>
    <w:basedOn w:val="TableBodyText"/>
    <w:rsid w:val="00E67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295"/>
    <w:rPr>
      <w:sz w:val="18"/>
    </w:rPr>
  </w:style>
  <w:style w:type="paragraph" w:customStyle="1" w:styleId="BodySmallRight">
    <w:name w:val="Body Small Right"/>
    <w:basedOn w:val="BodyTextRight"/>
    <w:rsid w:val="00E67295"/>
    <w:rPr>
      <w:sz w:val="18"/>
      <w:szCs w:val="18"/>
    </w:rPr>
  </w:style>
  <w:style w:type="paragraph" w:customStyle="1" w:styleId="MarginEdition">
    <w:name w:val="Margin Edition"/>
    <w:basedOn w:val="MarginNote"/>
    <w:rsid w:val="00E67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295"/>
    <w:rPr>
      <w:sz w:val="2"/>
      <w:szCs w:val="2"/>
    </w:rPr>
  </w:style>
  <w:style w:type="character" w:customStyle="1" w:styleId="Small">
    <w:name w:val="Small"/>
    <w:basedOn w:val="DefaultParagraphFont"/>
    <w:rsid w:val="00E67295"/>
    <w:rPr>
      <w:sz w:val="16"/>
    </w:rPr>
  </w:style>
  <w:style w:type="paragraph" w:customStyle="1" w:styleId="WideTable">
    <w:name w:val="Wide Table"/>
    <w:basedOn w:val="Normal"/>
    <w:rsid w:val="00E67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295"/>
  </w:style>
  <w:style w:type="paragraph" w:styleId="Quote">
    <w:name w:val="Quote"/>
    <w:basedOn w:val="Heading1"/>
    <w:link w:val="QuoteChar"/>
    <w:qFormat/>
    <w:rsid w:val="00E67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295"/>
    <w:pPr>
      <w:pageBreakBefore/>
    </w:pPr>
  </w:style>
  <w:style w:type="paragraph" w:customStyle="1" w:styleId="Border">
    <w:name w:val="Border"/>
    <w:basedOn w:val="Normal"/>
    <w:qFormat/>
    <w:rsid w:val="00E67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295"/>
    <w:rPr>
      <w:u w:val="single"/>
    </w:rPr>
  </w:style>
  <w:style w:type="character" w:customStyle="1" w:styleId="BoldandItalics">
    <w:name w:val="Bold and Italics"/>
    <w:qFormat/>
    <w:rsid w:val="00E67295"/>
    <w:rPr>
      <w:b/>
      <w:i/>
      <w:u w:val="none"/>
    </w:rPr>
  </w:style>
  <w:style w:type="paragraph" w:styleId="BalloonText">
    <w:name w:val="Balloon Text"/>
    <w:basedOn w:val="Normal"/>
    <w:link w:val="BalloonTextChar"/>
    <w:rsid w:val="00E67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295"/>
    <w:pPr>
      <w:spacing w:before="0" w:after="0"/>
    </w:pPr>
  </w:style>
  <w:style w:type="paragraph" w:customStyle="1" w:styleId="BodyTextBold">
    <w:name w:val="Body Text Bold"/>
    <w:basedOn w:val="BodyText"/>
    <w:qFormat/>
    <w:rsid w:val="00E67295"/>
    <w:rPr>
      <w:b/>
    </w:rPr>
  </w:style>
  <w:style w:type="character" w:styleId="Hyperlink">
    <w:name w:val="Hyperlink"/>
    <w:basedOn w:val="DefaultParagraphFont"/>
    <w:uiPriority w:val="99"/>
    <w:unhideWhenUsed/>
    <w:rsid w:val="00BE2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5667</Characters>
  <Application>Microsoft Office Word</Application>
  <DocSecurity>0</DocSecurity>
  <Lines>269</Lines>
  <Paragraphs>130</Paragraphs>
  <ScaleCrop>false</ScaleCrop>
  <Company>Author-it Software Corporation Ltd.</Company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TLIP0011 Monitor warehouse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2024-07-12T08:21:00Z</dcterms:created>
  <dcterms:modified xsi:type="dcterms:W3CDTF">2024-07-12T08:21:00Z</dcterms:modified>
</cp:coreProperties>
</file>