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B11" w:rsidP="00E30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TLIP0010 Monitor a supply chain operation</w:t>
      </w:r>
      <w:r>
        <w:fldChar w:fldCharType="end"/>
      </w:r>
    </w:p>
    <w:p w:rsidR="00E30B11" w:rsidP="00E30B11">
      <w:pPr>
        <w:pStyle w:val="Version"/>
        <w:sectPr w:rsidSect="00F35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503" w:rsidP="00F35503">
      <w:pPr>
        <w:pStyle w:val="SuperHeading"/>
      </w:pPr>
      <w:r w:rsidRPr="00F35503">
        <w:t>TLIP0010 Monitor a supply chain operation</w:t>
      </w:r>
    </w:p>
    <w:p w:rsidR="00000000" w:rsidRPr="00F35503" w:rsidP="00F35503">
      <w:pPr>
        <w:pStyle w:val="Heading1"/>
      </w:pPr>
      <w:bookmarkStart w:id="1" w:name="O_1194764"/>
      <w:bookmarkEnd w:id="1"/>
      <w:r w:rsidRPr="00F355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 xml:space="preserve">Release 1. </w:t>
            </w:r>
            <w:r w:rsidRPr="00F35503">
              <w:t>This is the first release of this unit of competency in the TLI Transport and Logistics Training Package.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2" w:name="O_1194765"/>
      <w:bookmarkEnd w:id="2"/>
      <w:r w:rsidRPr="00F355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This unit involves the skills and knowledge required to monitor a supply chain opera</w:t>
            </w:r>
            <w:r w:rsidRPr="00F35503">
              <w:t>tion.</w:t>
            </w:r>
          </w:p>
          <w:p w:rsidR="00000000" w:rsidRPr="00F35503" w:rsidP="00F35503">
            <w:pPr>
              <w:pStyle w:val="BodyText"/>
            </w:pPr>
            <w:r w:rsidRPr="00F35503">
              <w:t>It includes determining and monitoring supply chain functions; monitoring security of the supply chain; and contributing to forecasting in relation to warehousing, distribution and supply chain operations. It also includes making recommendations to i</w:t>
            </w:r>
            <w:r w:rsidRPr="00F35503">
              <w:t>mprove supply chain effectiveness.</w:t>
            </w:r>
          </w:p>
          <w:p w:rsidR="00000000" w:rsidRPr="00F35503" w:rsidP="00F35503">
            <w:pPr>
              <w:pStyle w:val="BodyText"/>
            </w:pPr>
            <w:r w:rsidRPr="00F35503">
              <w:t xml:space="preserve">Individuals work independently or as part of a team under direct and/or indirect supervision, use discretion and judgement and take responsibility for the quality of their output. </w:t>
            </w:r>
          </w:p>
          <w:p w:rsidR="00000000" w:rsidRPr="00F35503" w:rsidP="00F35503">
            <w:pPr>
              <w:pStyle w:val="BodyText"/>
            </w:pPr>
            <w:r w:rsidRPr="00F35503">
              <w:t>No licensing, legislative or certificati</w:t>
            </w:r>
            <w:r w:rsidRPr="00F35503">
              <w:t>on requirements apply to this unit at the time of publication.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3" w:name="O_1194766"/>
      <w:bookmarkEnd w:id="3"/>
      <w:r w:rsidRPr="00F355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Not applicable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4" w:name="O_1194767"/>
      <w:bookmarkEnd w:id="4"/>
      <w:r w:rsidRPr="00F355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P – Administration and Finance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5" w:name="O_1194768"/>
      <w:bookmarkEnd w:id="5"/>
      <w:r w:rsidRPr="00F355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Not applicable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6" w:name="O_1194769"/>
      <w:bookmarkEnd w:id="6"/>
      <w:r w:rsidRPr="00F3550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9"/>
        <w:gridCol w:w="2970"/>
        <w:gridCol w:w="668"/>
        <w:gridCol w:w="5501"/>
      </w:tblGrid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ELEMENTS</w:t>
            </w:r>
          </w:p>
        </w:tc>
        <w:tc>
          <w:tcPr>
            <w:tcW w:w="6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PERFORMANCE CRITERIA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Elements describe the essential outcomes.</w:t>
            </w:r>
          </w:p>
        </w:tc>
        <w:tc>
          <w:tcPr>
            <w:tcW w:w="6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Performance criteria describe the performance needed to demonstrate achievement of the element.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1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Determine supply chain functions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1.1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Supply chain operations, functions and objectives, and monitoring indicators are confirmed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1.2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Methodology for measuring supply chain functions is confirmed and application is understood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1.3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Scope of management responsibilities and processes within the supply chain are defined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1.4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Relationship between supply chain stakeholders and customers is identified and understood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1.5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Own level of responsibility and authority within supply chain ope</w:t>
            </w:r>
            <w:r w:rsidRPr="00F35503">
              <w:t>rations is determined in accordance with workplace policies and procedures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2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Monitor the supply chain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2.1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Communication with supply chain stakeholders is monitored in accordance with supply chain operations and workplace processes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2.2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Demand at each level of the supply chain operations is identified within own scope of responsibility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2.3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Activities are monitored in accordance with supply chain operations, relevant legislation and organisation policies and procedures for compliance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2.4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Inconsistencies or discrepancies are reported to appropriate personnel in accordance with workplace policies and procedures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3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Monitor security of the supply chain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3.1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Potential threats to the supply chain are analysed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3.2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Security issues and remedies are identified as they apply to the supply chain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3.3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Supply chain implementation is monitored and security issues are addressed, as required, in accordance with workplace policies and procedures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4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Contribute to forecasting in relation to warehousing, distribution and supply chain operations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4.1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Forecasting and control processes are determined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4.2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Relationship and impact between customer, the market and supply forecast are analysed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4.3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Process of forecasting and its impact on the supply chain, warehousing and distribution is evaluated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4.4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Financial implications of effective forecasting are determined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4.5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Forecasting is performed to identify the impact on the supply chain, warehousi</w:t>
            </w:r>
            <w:r w:rsidRPr="00F35503">
              <w:t>ng and distribution operation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>5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rPr>
                <w:rStyle w:val="SpecialBold"/>
              </w:rPr>
              <w:t xml:space="preserve">Make recommendations to </w:t>
            </w:r>
            <w:r w:rsidRPr="00F35503">
              <w:rPr>
                <w:rStyle w:val="SpecialBold"/>
              </w:rPr>
              <w:t>improve supply chain effectiveness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5.1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 xml:space="preserve">Impact of management tools and reporting lines in </w:t>
            </w:r>
            <w:r w:rsidRPr="00F35503">
              <w:t>relation to supply chain process is identified and analysed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5.2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t>Quality measures are applied to supply chain operations to identify opportunities for improvement</w:t>
            </w:r>
          </w:p>
        </w:tc>
      </w:tr>
      <w:tr w:rsidTr="00F3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>
            <w:pPr>
              <w:pStyle w:val="BodyText"/>
              <w:keepLines w:val="0"/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503">
            <w:pPr>
              <w:pStyle w:val="BodyText"/>
              <w:rPr>
                <w:lang w:val="en-NZ"/>
              </w:rPr>
            </w:pPr>
            <w:r w:rsidRPr="00F35503">
              <w:rPr>
                <w:rStyle w:val="SpecialBold"/>
              </w:rPr>
              <w:t>5.3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Recommendations are made regarding potential improvements to supply chain operations in accordance with workplace policies and procedures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7" w:name="O_1194770"/>
      <w:bookmarkEnd w:id="7"/>
      <w:r w:rsidRPr="00F355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Foundation skills essential to performance are explicit in the performance criteria of this unit of competency.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8" w:name="O_1194771"/>
      <w:bookmarkEnd w:id="8"/>
      <w:r w:rsidRPr="00F355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Range is restricted to essential operating conditions and any other variables essential to the work environment.</w:t>
            </w:r>
          </w:p>
          <w:p w:rsidR="00000000" w:rsidRPr="00F35503" w:rsidP="00F35503">
            <w:pPr>
              <w:pStyle w:val="BodyText"/>
            </w:pPr>
            <w:r w:rsidRPr="00F35503">
              <w:t>Non-essential conditions may be found in the TLI Transport and Logistics Training Package Companion Volume Implementation Guide.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9" w:name="O_1194772"/>
      <w:bookmarkEnd w:id="9"/>
      <w:r w:rsidRPr="00F355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503" w:rsidP="00F35503">
            <w:pPr>
              <w:pStyle w:val="BodyText"/>
            </w:pPr>
            <w:r w:rsidRPr="00F35503">
              <w:t>This unit replaces and is equivalent to TLIP4038 Monitor a supply chain operation.</w:t>
            </w:r>
          </w:p>
        </w:tc>
      </w:tr>
    </w:tbl>
    <w:p w:rsidR="00E30B11" w:rsidP="00F35503">
      <w:pPr>
        <w:pStyle w:val="NoPaddingFontSize1"/>
      </w:pPr>
    </w:p>
    <w:p w:rsidR="00E30B11" w:rsidP="00F35503">
      <w:pPr>
        <w:pStyle w:val="NoPaddingFontSize1"/>
      </w:pPr>
    </w:p>
    <w:p w:rsidR="00000000" w:rsidRPr="00F35503" w:rsidP="00F35503">
      <w:pPr>
        <w:pStyle w:val="Heading1"/>
      </w:pPr>
      <w:bookmarkStart w:id="10" w:name="O_1194779"/>
      <w:bookmarkEnd w:id="10"/>
      <w:r w:rsidRPr="00F35503">
        <w:t>Links</w:t>
      </w:r>
    </w:p>
    <w:p w:rsidR="00000000" w:rsidRPr="00F35503" w:rsidP="00E30B11">
      <w:pPr>
        <w:pStyle w:val="BodyText"/>
      </w:pPr>
      <w:r w:rsidRPr="00F35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76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5503" w:rsidP="00F35503"/>
    <w:sectPr w:rsidSect="00F35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503" w:rsidRPr="00E30B11" w:rsidP="00E30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11" w:rsidP="00F35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B11" w:rsidP="00F35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0B11" w:rsidP="00F35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503" w:rsidRPr="00E30B11" w:rsidP="00E30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11" w:rsidRPr="002D2AF8" w:rsidP="00F35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TLIP0010 Monitor a supply chain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30B11" w:rsidP="00F35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503"/>
  </w:style>
  <w:style w:type="character" w:customStyle="1" w:styleId="Heading1Char">
    <w:name w:val="Heading 1 Char"/>
    <w:basedOn w:val="DefaultParagraphFont"/>
    <w:link w:val="Heading1"/>
    <w:rsid w:val="00F35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5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5503"/>
    <w:rPr>
      <w:b/>
      <w:spacing w:val="0"/>
    </w:rPr>
  </w:style>
  <w:style w:type="paragraph" w:customStyle="1" w:styleId="SuperHeading">
    <w:name w:val="SuperHeading"/>
    <w:basedOn w:val="Normal"/>
    <w:rsid w:val="00F35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5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5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5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5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503"/>
    <w:rPr>
      <w:i/>
    </w:rPr>
  </w:style>
  <w:style w:type="paragraph" w:styleId="Caption">
    <w:name w:val="caption"/>
    <w:basedOn w:val="BodyText"/>
    <w:next w:val="Normal"/>
    <w:qFormat/>
    <w:rsid w:val="00F35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503"/>
  </w:style>
  <w:style w:type="paragraph" w:styleId="TableofFigures">
    <w:name w:val="table of figures"/>
    <w:basedOn w:val="Normal"/>
    <w:next w:val="Normal"/>
    <w:semiHidden/>
    <w:rsid w:val="00F35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5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5503"/>
    <w:rPr>
      <w:rFonts w:ascii="Wingdings" w:hAnsi="Wingdings"/>
    </w:rPr>
  </w:style>
  <w:style w:type="paragraph" w:customStyle="1" w:styleId="TableHeading">
    <w:name w:val="Table Heading"/>
    <w:basedOn w:val="HeadingBase"/>
    <w:rsid w:val="00F35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503"/>
    <w:rPr>
      <w:color w:val="0033CC"/>
      <w:u w:val="none"/>
    </w:rPr>
  </w:style>
  <w:style w:type="paragraph" w:customStyle="1" w:styleId="BodyTextRight">
    <w:name w:val="Body Text Right"/>
    <w:basedOn w:val="BodyText"/>
    <w:rsid w:val="00F35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5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503"/>
    <w:rPr>
      <w:sz w:val="32"/>
    </w:rPr>
  </w:style>
  <w:style w:type="paragraph" w:customStyle="1" w:styleId="HeadingProcedure">
    <w:name w:val="Heading Procedure"/>
    <w:basedOn w:val="HeadingBase"/>
    <w:next w:val="Normal"/>
    <w:rsid w:val="00F35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503"/>
    <w:pPr>
      <w:spacing w:before="60" w:after="60"/>
    </w:pPr>
  </w:style>
  <w:style w:type="paragraph" w:styleId="ListContinue">
    <w:name w:val="List Continue"/>
    <w:basedOn w:val="List"/>
    <w:rsid w:val="00F35503"/>
    <w:pPr>
      <w:ind w:firstLine="0"/>
    </w:pPr>
  </w:style>
  <w:style w:type="paragraph" w:customStyle="1" w:styleId="ListNote">
    <w:name w:val="List Note"/>
    <w:basedOn w:val="List"/>
    <w:rsid w:val="00F35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503"/>
    <w:rPr>
      <w:rFonts w:ascii="Courier New" w:hAnsi="Courier New"/>
    </w:rPr>
  </w:style>
  <w:style w:type="paragraph" w:customStyle="1" w:styleId="NoteBullet">
    <w:name w:val="Note Bullet"/>
    <w:basedOn w:val="Note"/>
    <w:rsid w:val="00F35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5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5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503"/>
    <w:rPr>
      <w:b/>
      <w:smallCaps/>
    </w:rPr>
  </w:style>
  <w:style w:type="paragraph" w:customStyle="1" w:styleId="TableListNumber">
    <w:name w:val="Table List Number"/>
    <w:basedOn w:val="ListNumber"/>
    <w:rsid w:val="00F35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503"/>
    <w:pPr>
      <w:numPr>
        <w:numId w:val="7"/>
      </w:numPr>
    </w:pPr>
  </w:style>
  <w:style w:type="paragraph" w:customStyle="1" w:styleId="ListAlpha2">
    <w:name w:val="List Alpha 2"/>
    <w:basedOn w:val="List2"/>
    <w:rsid w:val="00F35503"/>
    <w:pPr>
      <w:numPr>
        <w:numId w:val="6"/>
      </w:numPr>
    </w:pPr>
  </w:style>
  <w:style w:type="paragraph" w:styleId="List2">
    <w:name w:val="List 2"/>
    <w:basedOn w:val="BodyText"/>
    <w:rsid w:val="00F35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5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5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5503"/>
    <w:pPr>
      <w:numPr>
        <w:numId w:val="2"/>
      </w:numPr>
    </w:pPr>
  </w:style>
  <w:style w:type="paragraph" w:styleId="ListContinue2">
    <w:name w:val="List Continue 2"/>
    <w:basedOn w:val="List2"/>
    <w:rsid w:val="00F35503"/>
    <w:pPr>
      <w:ind w:firstLine="0"/>
    </w:pPr>
  </w:style>
  <w:style w:type="paragraph" w:styleId="ListContinue3">
    <w:name w:val="List Continue 3"/>
    <w:basedOn w:val="List3"/>
    <w:rsid w:val="00F35503"/>
    <w:pPr>
      <w:ind w:left="1021" w:firstLine="0"/>
    </w:pPr>
  </w:style>
  <w:style w:type="paragraph" w:styleId="ListContinue4">
    <w:name w:val="List Continue 4"/>
    <w:basedOn w:val="List4"/>
    <w:rsid w:val="00F35503"/>
    <w:pPr>
      <w:ind w:firstLine="0"/>
    </w:pPr>
  </w:style>
  <w:style w:type="paragraph" w:styleId="ListContinue5">
    <w:name w:val="List Continue 5"/>
    <w:basedOn w:val="List5"/>
    <w:rsid w:val="00F35503"/>
    <w:pPr>
      <w:ind w:firstLine="0"/>
    </w:pPr>
  </w:style>
  <w:style w:type="paragraph" w:styleId="ListNumber3">
    <w:name w:val="List Number 3"/>
    <w:basedOn w:val="List3"/>
    <w:rsid w:val="00F35503"/>
    <w:pPr>
      <w:numPr>
        <w:numId w:val="3"/>
      </w:numPr>
    </w:pPr>
  </w:style>
  <w:style w:type="paragraph" w:styleId="ListNumber4">
    <w:name w:val="List Number 4"/>
    <w:basedOn w:val="List4"/>
    <w:rsid w:val="00F35503"/>
    <w:pPr>
      <w:numPr>
        <w:numId w:val="4"/>
      </w:numPr>
    </w:pPr>
  </w:style>
  <w:style w:type="paragraph" w:styleId="ListNumber5">
    <w:name w:val="List Number 5"/>
    <w:basedOn w:val="List5"/>
    <w:rsid w:val="00F35503"/>
    <w:pPr>
      <w:numPr>
        <w:numId w:val="5"/>
      </w:numPr>
    </w:pPr>
  </w:style>
  <w:style w:type="paragraph" w:styleId="BlockText">
    <w:name w:val="Block Text"/>
    <w:basedOn w:val="Normal"/>
    <w:rsid w:val="00F35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503"/>
    <w:rPr>
      <w:sz w:val="16"/>
      <w:vertAlign w:val="superscript"/>
    </w:rPr>
  </w:style>
  <w:style w:type="character" w:customStyle="1" w:styleId="Symbols">
    <w:name w:val="Symbols"/>
    <w:basedOn w:val="DefaultParagraphFont"/>
    <w:rsid w:val="00F35503"/>
    <w:rPr>
      <w:rFonts w:ascii="Symbol" w:hAnsi="Symbol"/>
    </w:rPr>
  </w:style>
  <w:style w:type="character" w:customStyle="1" w:styleId="MenuOptions">
    <w:name w:val="Menu Options"/>
    <w:basedOn w:val="DefaultParagraphFont"/>
    <w:rsid w:val="00F35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503"/>
    <w:rPr>
      <w:b/>
    </w:rPr>
  </w:style>
  <w:style w:type="character" w:customStyle="1" w:styleId="Underlined">
    <w:name w:val="Underlined"/>
    <w:basedOn w:val="DefaultParagraphFont"/>
    <w:rsid w:val="00F35503"/>
    <w:rPr>
      <w:u w:val="single"/>
    </w:rPr>
  </w:style>
  <w:style w:type="paragraph" w:customStyle="1" w:styleId="TableBodyTextRight">
    <w:name w:val="Table Body Text Right"/>
    <w:basedOn w:val="TableBodyText"/>
    <w:rsid w:val="00F35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503"/>
    <w:rPr>
      <w:sz w:val="18"/>
    </w:rPr>
  </w:style>
  <w:style w:type="paragraph" w:customStyle="1" w:styleId="BodySmallRight">
    <w:name w:val="Body Small Right"/>
    <w:basedOn w:val="BodyTextRight"/>
    <w:rsid w:val="00F35503"/>
    <w:rPr>
      <w:sz w:val="18"/>
      <w:szCs w:val="18"/>
    </w:rPr>
  </w:style>
  <w:style w:type="paragraph" w:customStyle="1" w:styleId="MarginEdition">
    <w:name w:val="Margin Edition"/>
    <w:basedOn w:val="MarginNote"/>
    <w:rsid w:val="00F35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503"/>
    <w:rPr>
      <w:sz w:val="2"/>
      <w:szCs w:val="2"/>
    </w:rPr>
  </w:style>
  <w:style w:type="character" w:customStyle="1" w:styleId="Small">
    <w:name w:val="Small"/>
    <w:basedOn w:val="DefaultParagraphFont"/>
    <w:rsid w:val="00F35503"/>
    <w:rPr>
      <w:sz w:val="16"/>
    </w:rPr>
  </w:style>
  <w:style w:type="paragraph" w:customStyle="1" w:styleId="WideTable">
    <w:name w:val="Wide Table"/>
    <w:basedOn w:val="Normal"/>
    <w:rsid w:val="00F35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503"/>
  </w:style>
  <w:style w:type="paragraph" w:styleId="Quote">
    <w:name w:val="Quote"/>
    <w:basedOn w:val="Heading1"/>
    <w:link w:val="QuoteChar"/>
    <w:qFormat/>
    <w:rsid w:val="00F35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503"/>
    <w:pPr>
      <w:pageBreakBefore/>
    </w:pPr>
  </w:style>
  <w:style w:type="paragraph" w:customStyle="1" w:styleId="Border">
    <w:name w:val="Border"/>
    <w:basedOn w:val="Normal"/>
    <w:qFormat/>
    <w:rsid w:val="00F35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503"/>
    <w:rPr>
      <w:u w:val="single"/>
    </w:rPr>
  </w:style>
  <w:style w:type="character" w:customStyle="1" w:styleId="BoldandItalics">
    <w:name w:val="Bold and Italics"/>
    <w:qFormat/>
    <w:rsid w:val="00F35503"/>
    <w:rPr>
      <w:b/>
      <w:i/>
      <w:u w:val="none"/>
    </w:rPr>
  </w:style>
  <w:style w:type="paragraph" w:styleId="BalloonText">
    <w:name w:val="Balloon Text"/>
    <w:basedOn w:val="Normal"/>
    <w:link w:val="BalloonTextChar"/>
    <w:rsid w:val="00F35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503"/>
    <w:pPr>
      <w:spacing w:before="0" w:after="0"/>
    </w:pPr>
  </w:style>
  <w:style w:type="paragraph" w:customStyle="1" w:styleId="BodyTextBold">
    <w:name w:val="Body Text Bold"/>
    <w:basedOn w:val="BodyText"/>
    <w:qFormat/>
    <w:rsid w:val="00F35503"/>
    <w:rPr>
      <w:b/>
    </w:rPr>
  </w:style>
  <w:style w:type="character" w:styleId="Hyperlink">
    <w:name w:val="Hyperlink"/>
    <w:basedOn w:val="DefaultParagraphFont"/>
    <w:uiPriority w:val="99"/>
    <w:unhideWhenUsed/>
    <w:rsid w:val="00E30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3862</Characters>
  <Application>Microsoft Office Word</Application>
  <DocSecurity>0</DocSecurity>
  <Lines>183</Lines>
  <Paragraphs>97</Paragraphs>
  <ScaleCrop>false</ScaleCrop>
  <Company>Author-it Software Corporation Ltd.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TLIP0010 Monitor a supply chain operation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