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C6D" w:rsidP="00286C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TLIO5020 Advise on and manage security and safety in international freight transport</w:t>
      </w:r>
      <w:r>
        <w:fldChar w:fldCharType="end"/>
      </w:r>
    </w:p>
    <w:p w:rsidR="00286C6D" w:rsidP="00286C6D">
      <w:pPr>
        <w:pStyle w:val="Version"/>
        <w:sectPr w:rsidSect="00ED2C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2CD6" w:rsidP="00ED2CD6">
      <w:pPr>
        <w:pStyle w:val="SuperHeading"/>
      </w:pPr>
      <w:r w:rsidRPr="00ED2CD6">
        <w:t>TLIO5020 Advise on and manage security and safety in international freight transport</w:t>
      </w:r>
    </w:p>
    <w:p w:rsidR="00000000" w:rsidRPr="00ED2CD6" w:rsidP="00ED2CD6">
      <w:pPr>
        <w:pStyle w:val="Heading1"/>
      </w:pPr>
      <w:bookmarkStart w:id="1" w:name="O_1067572"/>
      <w:bookmarkEnd w:id="1"/>
      <w:r w:rsidRPr="00ED2C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 w:rsidP="00ED2CD6">
            <w:pPr>
              <w:pStyle w:val="BodyText"/>
            </w:pPr>
            <w:r w:rsidRPr="00ED2CD6">
              <w:rPr>
                <w:rStyle w:val="SpecialBold"/>
              </w:rPr>
              <w:t xml:space="preserve">Release 2. </w:t>
            </w:r>
            <w:r w:rsidRPr="00ED2CD6">
              <w:t xml:space="preserve">This is the second release of this unit of competency in the TLI Transport and Logistics Training Package: </w:t>
            </w:r>
          </w:p>
          <w:p w:rsidR="00000000" w:rsidP="00ED2CD6">
            <w:pPr>
              <w:pStyle w:val="ListBullet"/>
              <w:rPr>
                <w:lang w:val="en-NZ"/>
              </w:rPr>
            </w:pPr>
            <w:r w:rsidRPr="00ED2CD6">
              <w:t>Minor statement changes in Assessment Conditions.</w:t>
            </w:r>
          </w:p>
        </w:tc>
      </w:tr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 w:rsidP="00ED2CD6">
            <w:pPr>
              <w:pStyle w:val="BodyText"/>
            </w:pPr>
            <w:r w:rsidRPr="00ED2CD6">
              <w:rPr>
                <w:rStyle w:val="SpecialBold"/>
              </w:rPr>
              <w:t xml:space="preserve">Release 1. </w:t>
            </w:r>
            <w:r w:rsidRPr="00ED2CD6">
              <w:t>This is the first release of this unit of competency in the TLI Transport and Logistics Training Package.</w:t>
            </w:r>
          </w:p>
        </w:tc>
      </w:tr>
    </w:tbl>
    <w:p w:rsidR="00000000" w:rsidRPr="00ED2CD6" w:rsidP="00ED2CD6">
      <w:pPr>
        <w:pStyle w:val="NoPaddingFontSize1"/>
      </w:pPr>
    </w:p>
    <w:p w:rsidR="00000000" w:rsidRPr="00ED2CD6" w:rsidP="00ED2CD6">
      <w:pPr>
        <w:pStyle w:val="AllowPageBreak"/>
      </w:pPr>
    </w:p>
    <w:p w:rsidR="00000000" w:rsidRPr="00ED2CD6" w:rsidP="00ED2CD6">
      <w:pPr>
        <w:pStyle w:val="Heading1"/>
      </w:pPr>
      <w:bookmarkStart w:id="2" w:name="O_1067571"/>
      <w:bookmarkEnd w:id="2"/>
      <w:r w:rsidRPr="00ED2CD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 w:rsidP="00ED2CD6">
            <w:pPr>
              <w:pStyle w:val="BodyText"/>
            </w:pPr>
            <w:r w:rsidRPr="00ED2CD6">
              <w:t>This unit involves the skills and knowledge required to</w:t>
            </w:r>
            <w:r w:rsidRPr="00ED2CD6">
              <w:t xml:space="preserve"> advise customers on security and safety requirements within international freight transport, and to manage the security and safety arrangements for international freight.</w:t>
            </w:r>
          </w:p>
          <w:p w:rsidR="00000000" w:rsidRPr="00ED2CD6" w:rsidP="00ED2CD6">
            <w:pPr>
              <w:pStyle w:val="BodyText"/>
            </w:pPr>
            <w:r w:rsidRPr="00ED2CD6">
              <w:t>This includes assessing international freight transport security and safety risks, s</w:t>
            </w:r>
            <w:r w:rsidRPr="00ED2CD6">
              <w:t>pecifying international transport security and safety requirements, implementing transport security and safety plans and policies, and monitoring and reviewing security and safety system performance. International freight forwarding covers importing, expor</w:t>
            </w:r>
            <w:r w:rsidRPr="00ED2CD6">
              <w:t>ting and transiting freight.</w:t>
            </w:r>
          </w:p>
          <w:p w:rsidR="00000000" w:rsidRPr="00ED2CD6" w:rsidP="00ED2CD6">
            <w:pPr>
              <w:pStyle w:val="BodyText"/>
            </w:pPr>
            <w:r w:rsidRPr="00ED2CD6">
              <w:t>All activities are carried out in accordance with relevant organisational policy and procedures, as well as national and global codes of practice and regulations applicable to international freight forwarding.</w:t>
            </w:r>
          </w:p>
          <w:p w:rsidR="00000000" w:rsidRPr="00ED2CD6" w:rsidP="00ED2CD6">
            <w:pPr>
              <w:pStyle w:val="BodyText"/>
            </w:pPr>
            <w:r w:rsidRPr="00ED2CD6">
              <w:t>This unit was dev</w:t>
            </w:r>
            <w:r w:rsidRPr="00ED2CD6">
              <w:t>eloped for persons involved in advising on and managing security and safety in international freight transport as part of advanced international freight forwarding functions.</w:t>
            </w:r>
          </w:p>
          <w:p w:rsidR="00000000" w:rsidRPr="00ED2CD6" w:rsidP="00ED2CD6">
            <w:pPr>
              <w:pStyle w:val="BodyText"/>
            </w:pPr>
            <w:r w:rsidRPr="00ED2CD6">
              <w:t>No licensing, legislative or certification requirements apply to this unit at the</w:t>
            </w:r>
            <w:r w:rsidRPr="00ED2CD6">
              <w:t xml:space="preserve"> time of publication.</w:t>
            </w:r>
          </w:p>
        </w:tc>
      </w:tr>
    </w:tbl>
    <w:p w:rsidR="00000000" w:rsidRPr="00ED2CD6" w:rsidP="00ED2CD6">
      <w:pPr>
        <w:pStyle w:val="NoPaddingFontSize1"/>
      </w:pPr>
    </w:p>
    <w:p w:rsidR="00000000" w:rsidRPr="00ED2CD6" w:rsidP="00ED2CD6">
      <w:pPr>
        <w:pStyle w:val="AllowPageBreak"/>
      </w:pPr>
    </w:p>
    <w:p w:rsidR="00000000" w:rsidRPr="00ED2CD6" w:rsidP="00ED2CD6">
      <w:pPr>
        <w:pStyle w:val="Heading1"/>
      </w:pPr>
      <w:bookmarkStart w:id="3" w:name="O_1067570"/>
      <w:bookmarkEnd w:id="3"/>
      <w:r w:rsidRPr="00ED2CD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 w:rsidP="00ED2CD6">
            <w:pPr>
              <w:pStyle w:val="BodyText"/>
            </w:pPr>
            <w:r w:rsidRPr="00ED2CD6">
              <w:t>Not applicable.</w:t>
            </w:r>
          </w:p>
        </w:tc>
      </w:tr>
    </w:tbl>
    <w:p w:rsidR="00000000" w:rsidRPr="00ED2CD6" w:rsidP="00ED2CD6">
      <w:pPr>
        <w:pStyle w:val="NoPaddingFontSize1"/>
      </w:pPr>
    </w:p>
    <w:p w:rsidR="00000000" w:rsidRPr="00ED2CD6" w:rsidP="00ED2CD6">
      <w:pPr>
        <w:pStyle w:val="AllowPageBreak"/>
      </w:pPr>
    </w:p>
    <w:p w:rsidR="00000000" w:rsidRPr="00ED2CD6" w:rsidP="00ED2CD6">
      <w:pPr>
        <w:pStyle w:val="Heading1"/>
      </w:pPr>
      <w:bookmarkStart w:id="4" w:name="O_1067569"/>
      <w:bookmarkEnd w:id="4"/>
      <w:r w:rsidRPr="00ED2CD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 w:rsidP="00ED2CD6">
            <w:pPr>
              <w:pStyle w:val="BodyText"/>
            </w:pPr>
            <w:r w:rsidRPr="00ED2CD6">
              <w:t>O – Security</w:t>
            </w:r>
          </w:p>
        </w:tc>
      </w:tr>
    </w:tbl>
    <w:p w:rsidR="00000000" w:rsidRPr="00ED2CD6" w:rsidP="00ED2CD6">
      <w:pPr>
        <w:pStyle w:val="NoPaddingFontSize1"/>
      </w:pPr>
    </w:p>
    <w:p w:rsidR="00000000" w:rsidRPr="00ED2CD6" w:rsidP="00ED2CD6">
      <w:pPr>
        <w:pStyle w:val="AllowPageBreak"/>
      </w:pPr>
    </w:p>
    <w:p w:rsidR="00000000" w:rsidRPr="00ED2CD6" w:rsidP="00ED2CD6">
      <w:pPr>
        <w:pStyle w:val="Heading1"/>
      </w:pPr>
      <w:bookmarkStart w:id="5" w:name="O_1067568"/>
      <w:bookmarkEnd w:id="5"/>
      <w:r w:rsidRPr="00ED2CD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 w:rsidP="00ED2CD6">
            <w:pPr>
              <w:pStyle w:val="BodyText"/>
            </w:pPr>
            <w:r w:rsidRPr="00ED2CD6">
              <w:t>Not applicable.</w:t>
            </w:r>
          </w:p>
        </w:tc>
      </w:tr>
    </w:tbl>
    <w:p w:rsidR="00000000" w:rsidRPr="00ED2CD6" w:rsidP="00ED2CD6">
      <w:pPr>
        <w:pStyle w:val="NoPaddingFontSize1"/>
      </w:pPr>
    </w:p>
    <w:p w:rsidR="00000000" w:rsidRPr="00ED2CD6" w:rsidP="00ED2CD6">
      <w:pPr>
        <w:pStyle w:val="AllowPageBreak"/>
      </w:pPr>
    </w:p>
    <w:p w:rsidR="00000000" w:rsidRPr="00ED2CD6" w:rsidP="00ED2CD6">
      <w:pPr>
        <w:pStyle w:val="Heading1"/>
      </w:pPr>
      <w:bookmarkStart w:id="6" w:name="O_1067567"/>
      <w:bookmarkEnd w:id="6"/>
      <w:r w:rsidRPr="00ED2CD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 w:rsidP="00ED2CD6">
            <w:pPr>
              <w:pStyle w:val="BodyText"/>
            </w:pPr>
            <w:r w:rsidRPr="00ED2CD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rPr>
                <w:rStyle w:val="SpecialBold"/>
              </w:rPr>
              <w:t>PERFORMANCE CRITERIA</w:t>
            </w:r>
          </w:p>
        </w:tc>
      </w:tr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t>Performance criteria describe the performance needed to demonstrate achievement of the element.</w:t>
            </w:r>
          </w:p>
        </w:tc>
      </w:tr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 w:rsidP="00ED2CD6">
            <w:pPr>
              <w:pStyle w:val="BodyText"/>
            </w:pPr>
            <w:r w:rsidRPr="00ED2CD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 w:rsidP="00ED2CD6">
            <w:pPr>
              <w:pStyle w:val="BodyText"/>
            </w:pPr>
            <w:r w:rsidRPr="00ED2CD6">
              <w:rPr>
                <w:rStyle w:val="SpecialBold"/>
              </w:rPr>
              <w:t>Assess international freight transport security and safety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t>Records of international freight transport security and safety breaches, thefts, accidents and damage are reviewed to identify past security and safety incidents</w:t>
            </w:r>
          </w:p>
        </w:tc>
      </w:tr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t>Assessment of potential risks to security and safety of freight, personnel, facilities,</w:t>
            </w:r>
            <w:r w:rsidRPr="00ED2CD6">
              <w:t xml:space="preserve"> information and equipment are made, considering internal and external factors</w:t>
            </w:r>
          </w:p>
        </w:tc>
      </w:tr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t>Relative risks from a range of sources are assessed and compared with existing security and safety measures</w:t>
            </w:r>
          </w:p>
        </w:tc>
      </w:tr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t>Discrepancies between identified risk and current security and safety processes are noted</w:t>
            </w:r>
          </w:p>
        </w:tc>
      </w:tr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 w:rsidP="00ED2CD6">
            <w:pPr>
              <w:pStyle w:val="BodyText"/>
            </w:pPr>
            <w:r w:rsidRPr="00ED2CD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 w:rsidP="00ED2CD6">
            <w:pPr>
              <w:pStyle w:val="BodyText"/>
            </w:pPr>
            <w:r w:rsidRPr="00ED2CD6">
              <w:rPr>
                <w:rStyle w:val="SpecialBold"/>
              </w:rPr>
              <w:t>Specify international transport security and safety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t>Decisions and adjustments to security and safety equipment, facilities and services are made b</w:t>
            </w:r>
            <w:r w:rsidRPr="00ED2CD6">
              <w:t>ased on risk assessment in relation to benefits to freight forwarding customer and freight forwarding organisation</w:t>
            </w:r>
          </w:p>
        </w:tc>
      </w:tr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t>Transport security and safety plans, including performance indicators, are prepared in accordance with workplace and regulatory requir</w:t>
            </w:r>
            <w:r w:rsidRPr="00ED2CD6">
              <w:t>ements, and are circulated for feedback prior to implementation</w:t>
            </w:r>
          </w:p>
        </w:tc>
      </w:tr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t xml:space="preserve">Security and safety arrangements for international freight forwarding activities are documented, and implementation strategies are established </w:t>
            </w:r>
            <w:r w:rsidRPr="00ED2CD6">
              <w:t>in accordance with freight forwarding organisation’s transport security and safety plans, and transport security and safety regulations</w:t>
            </w:r>
          </w:p>
        </w:tc>
      </w:tr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t>Questions and feedback from stakeholders are responded to promptly and, where appropriate, incorporated in plans</w:t>
            </w:r>
          </w:p>
        </w:tc>
      </w:tr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 w:rsidP="00ED2CD6">
            <w:pPr>
              <w:pStyle w:val="BodyText"/>
            </w:pPr>
            <w:r w:rsidRPr="00ED2CD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 w:rsidP="00ED2CD6">
            <w:pPr>
              <w:pStyle w:val="BodyText"/>
            </w:pPr>
            <w:r w:rsidRPr="00ED2CD6">
              <w:rPr>
                <w:rStyle w:val="SpecialBold"/>
              </w:rPr>
              <w:t>Implement transport security and safety plans and policies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t>Priorities for implementation are identified, and management and workplace personnel are informed</w:t>
            </w:r>
          </w:p>
        </w:tc>
      </w:tr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t>Competency needs for the work are identified, and staff are allocated and/or trained and assessed to meet those needs</w:t>
            </w:r>
          </w:p>
        </w:tc>
      </w:tr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t>Equipment and facilities are allocated and/or obtained</w:t>
            </w:r>
          </w:p>
        </w:tc>
      </w:tr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t>Workplace personnel and equipment are organised to meet requirements ensuring workloads are balanced and other workplace activities are met</w:t>
            </w:r>
          </w:p>
        </w:tc>
      </w:tr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t>Operating procedures and methods are explained to freight forwarding and security and safety personnel, and f</w:t>
            </w:r>
            <w:r w:rsidRPr="00ED2CD6">
              <w:t>ollow-up communication methods are used to ensure freight transport and storage security and safety requirements are applied in accordance with transport security and safety security plans and policies</w:t>
            </w:r>
          </w:p>
        </w:tc>
      </w:tr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t>Advice is provided to customers on security and</w:t>
            </w:r>
            <w:r w:rsidRPr="00ED2CD6">
              <w:t xml:space="preserve"> safety matters during international freight forwarding projects in accordance with freight forwarding organisation’s transport security and safety plans and policies</w:t>
            </w:r>
          </w:p>
        </w:tc>
      </w:tr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t>International freight transport security and safety plans, policies and procedures</w:t>
            </w:r>
            <w:r w:rsidRPr="00ED2CD6">
              <w:t xml:space="preserve"> are implemented when carrying out freight forwarding duties and functions</w:t>
            </w:r>
          </w:p>
        </w:tc>
      </w:tr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 w:rsidP="00ED2CD6">
            <w:pPr>
              <w:pStyle w:val="BodyText"/>
            </w:pPr>
            <w:r w:rsidRPr="00ED2CD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 w:rsidP="00ED2CD6">
            <w:pPr>
              <w:pStyle w:val="BodyText"/>
            </w:pPr>
            <w:r w:rsidRPr="00ED2CD6">
              <w:rPr>
                <w:rStyle w:val="SpecialBold"/>
              </w:rPr>
              <w:t>Monitor and review system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t>Reports on security and safety incidents in international freight transport and related action are collated and categorised</w:t>
            </w:r>
          </w:p>
        </w:tc>
      </w:tr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t>Reports are compared to identify trends in security, safety incidents and breaches</w:t>
            </w:r>
          </w:p>
        </w:tc>
      </w:tr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D6">
            <w:pPr>
              <w:pStyle w:val="BodyText"/>
              <w:rPr>
                <w:lang w:val="en-NZ"/>
              </w:rPr>
            </w:pPr>
            <w:r w:rsidRPr="00ED2CD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 w:rsidP="00ED2CD6">
            <w:pPr>
              <w:pStyle w:val="BodyText"/>
            </w:pPr>
            <w:r w:rsidRPr="00ED2CD6">
              <w:t>International freight transport security and safety policies and procedures are amended and trialled to improve performance</w:t>
            </w:r>
          </w:p>
        </w:tc>
      </w:tr>
    </w:tbl>
    <w:p w:rsidR="00000000" w:rsidRPr="00ED2CD6" w:rsidP="00ED2CD6">
      <w:pPr>
        <w:pStyle w:val="NoPaddingFontSize1"/>
      </w:pPr>
    </w:p>
    <w:p w:rsidR="00000000" w:rsidRPr="00ED2CD6" w:rsidP="00ED2CD6">
      <w:pPr>
        <w:pStyle w:val="AllowPageBreak"/>
      </w:pPr>
    </w:p>
    <w:p w:rsidR="00000000" w:rsidRPr="00ED2CD6" w:rsidP="00ED2CD6">
      <w:pPr>
        <w:pStyle w:val="Heading1"/>
      </w:pPr>
      <w:bookmarkStart w:id="7" w:name="O_1067566"/>
      <w:bookmarkEnd w:id="7"/>
      <w:r w:rsidRPr="00ED2CD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 w:rsidP="00ED2CD6">
            <w:pPr>
              <w:pStyle w:val="BodyText"/>
            </w:pPr>
            <w:r w:rsidRPr="00ED2CD6">
              <w:t>Fou</w:t>
            </w:r>
            <w:r w:rsidRPr="00ED2CD6">
              <w:t>ndation skills essential to performance are explicit in the performance criteria of this unit of competency.</w:t>
            </w:r>
          </w:p>
        </w:tc>
      </w:tr>
    </w:tbl>
    <w:p w:rsidR="00000000" w:rsidRPr="00ED2CD6" w:rsidP="00ED2CD6">
      <w:pPr>
        <w:pStyle w:val="NoPaddingFontSize1"/>
      </w:pPr>
    </w:p>
    <w:p w:rsidR="00000000" w:rsidRPr="00ED2CD6" w:rsidP="00ED2CD6">
      <w:pPr>
        <w:pStyle w:val="AllowPageBreak"/>
      </w:pPr>
    </w:p>
    <w:p w:rsidR="00000000" w:rsidRPr="00ED2CD6" w:rsidP="00ED2CD6">
      <w:pPr>
        <w:pStyle w:val="Heading1"/>
      </w:pPr>
      <w:bookmarkStart w:id="8" w:name="O_1067565"/>
      <w:bookmarkEnd w:id="8"/>
      <w:r w:rsidRPr="00ED2CD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 w:rsidP="00ED2CD6">
            <w:pPr>
              <w:pStyle w:val="BodyText"/>
            </w:pPr>
            <w:r w:rsidRPr="00ED2CD6">
              <w:t>Range is restricted to essential operati</w:t>
            </w:r>
            <w:r w:rsidRPr="00ED2CD6">
              <w:t>ng conditions and any other variables essential to the work environment.</w:t>
            </w:r>
          </w:p>
        </w:tc>
      </w:tr>
    </w:tbl>
    <w:p w:rsidR="00000000" w:rsidRPr="00ED2CD6" w:rsidP="00ED2CD6">
      <w:pPr>
        <w:pStyle w:val="NoPaddingFontSize1"/>
      </w:pPr>
    </w:p>
    <w:p w:rsidR="00000000" w:rsidRPr="00ED2CD6" w:rsidP="00ED2CD6">
      <w:pPr>
        <w:pStyle w:val="AllowPageBreak"/>
      </w:pPr>
    </w:p>
    <w:p w:rsidR="00000000" w:rsidRPr="00ED2CD6" w:rsidP="00ED2CD6">
      <w:pPr>
        <w:pStyle w:val="Heading1"/>
      </w:pPr>
      <w:bookmarkStart w:id="9" w:name="O_1067564"/>
      <w:bookmarkEnd w:id="9"/>
      <w:r w:rsidRPr="00ED2CD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D6" w:rsidP="00ED2CD6">
            <w:pPr>
              <w:pStyle w:val="BodyText"/>
            </w:pPr>
            <w:r w:rsidRPr="00ED2CD6">
              <w:t>This unit replaces and is equivalent to TLIO5020A Advise on and manage security and safety in international freight transport.</w:t>
            </w:r>
          </w:p>
        </w:tc>
      </w:tr>
    </w:tbl>
    <w:p w:rsidR="00000000" w:rsidRPr="00ED2CD6" w:rsidP="00ED2CD6">
      <w:pPr>
        <w:pStyle w:val="NoPaddingFontSize1"/>
      </w:pPr>
    </w:p>
    <w:p w:rsidR="00000000" w:rsidRPr="00ED2CD6" w:rsidP="00ED2CD6">
      <w:pPr>
        <w:pStyle w:val="AllowPageBreak"/>
      </w:pPr>
    </w:p>
    <w:p w:rsidR="00000000" w:rsidRPr="00ED2CD6" w:rsidP="00ED2CD6">
      <w:pPr>
        <w:pStyle w:val="Heading1"/>
      </w:pPr>
      <w:bookmarkStart w:id="10" w:name="O_1067573"/>
      <w:bookmarkEnd w:id="10"/>
      <w:r w:rsidRPr="00ED2CD6">
        <w:t>Links</w:t>
      </w:r>
    </w:p>
    <w:p w:rsidR="00000000" w:rsidRPr="00ED2CD6" w:rsidP="00286C6D">
      <w:pPr>
        <w:pStyle w:val="BodyText"/>
      </w:pPr>
      <w:r w:rsidRPr="00ED2C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E546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D2CD6" w:rsidP="00ED2CD6"/>
    <w:sectPr w:rsidSect="00ED2C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D6" w:rsidRPr="00286C6D" w:rsidP="00286C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6D" w:rsidP="00ED2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6C6D" w:rsidP="00ED2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86C6D" w:rsidP="00ED2C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CD6" w:rsidRPr="00286C6D" w:rsidP="00286C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6D" w:rsidRPr="002D2AF8" w:rsidP="00ED2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TLIO5020 Advise on and manage security and safety in international freight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86C6D" w:rsidP="00ED2C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78F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C044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C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C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C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C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C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C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C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C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C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C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C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CD6"/>
  </w:style>
  <w:style w:type="character" w:customStyle="1" w:styleId="Heading1Char">
    <w:name w:val="Heading 1 Char"/>
    <w:basedOn w:val="DefaultParagraphFont"/>
    <w:link w:val="Heading1"/>
    <w:rsid w:val="00ED2C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C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C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C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2CD6"/>
    <w:rPr>
      <w:b/>
      <w:spacing w:val="0"/>
    </w:rPr>
  </w:style>
  <w:style w:type="paragraph" w:customStyle="1" w:styleId="SuperHeading">
    <w:name w:val="SuperHeading"/>
    <w:basedOn w:val="Normal"/>
    <w:rsid w:val="00ED2C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C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2C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C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C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C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C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C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C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C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C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C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C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C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C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C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C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C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2C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C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C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2C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2C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C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C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C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C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C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C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C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C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2CD6"/>
    <w:rPr>
      <w:i/>
    </w:rPr>
  </w:style>
  <w:style w:type="paragraph" w:styleId="Caption">
    <w:name w:val="caption"/>
    <w:basedOn w:val="BodyText"/>
    <w:next w:val="Normal"/>
    <w:qFormat/>
    <w:rsid w:val="00ED2C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C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C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CD6"/>
  </w:style>
  <w:style w:type="paragraph" w:styleId="TableofFigures">
    <w:name w:val="table of figures"/>
    <w:basedOn w:val="Normal"/>
    <w:next w:val="Normal"/>
    <w:semiHidden/>
    <w:rsid w:val="00ED2C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C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2CD6"/>
    <w:rPr>
      <w:rFonts w:ascii="Wingdings" w:hAnsi="Wingdings"/>
    </w:rPr>
  </w:style>
  <w:style w:type="paragraph" w:customStyle="1" w:styleId="TableHeading">
    <w:name w:val="Table Heading"/>
    <w:basedOn w:val="HeadingBase"/>
    <w:rsid w:val="00ED2C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CD6"/>
    <w:rPr>
      <w:color w:val="0033CC"/>
      <w:u w:val="none"/>
    </w:rPr>
  </w:style>
  <w:style w:type="paragraph" w:customStyle="1" w:styleId="BodyTextRight">
    <w:name w:val="Body Text Right"/>
    <w:basedOn w:val="BodyText"/>
    <w:rsid w:val="00ED2C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C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C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C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C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C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CD6"/>
    <w:rPr>
      <w:sz w:val="32"/>
    </w:rPr>
  </w:style>
  <w:style w:type="paragraph" w:customStyle="1" w:styleId="HeadingProcedure">
    <w:name w:val="Heading Procedure"/>
    <w:basedOn w:val="HeadingBase"/>
    <w:next w:val="Normal"/>
    <w:rsid w:val="00ED2C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CD6"/>
    <w:pPr>
      <w:spacing w:before="60" w:after="60"/>
    </w:pPr>
  </w:style>
  <w:style w:type="paragraph" w:styleId="ListContinue">
    <w:name w:val="List Continue"/>
    <w:basedOn w:val="List"/>
    <w:rsid w:val="00ED2CD6"/>
    <w:pPr>
      <w:ind w:firstLine="0"/>
    </w:pPr>
  </w:style>
  <w:style w:type="paragraph" w:customStyle="1" w:styleId="ListNote">
    <w:name w:val="List Note"/>
    <w:basedOn w:val="List"/>
    <w:rsid w:val="00ED2C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C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C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CD6"/>
    <w:rPr>
      <w:rFonts w:ascii="Courier New" w:hAnsi="Courier New"/>
    </w:rPr>
  </w:style>
  <w:style w:type="paragraph" w:customStyle="1" w:styleId="NoteBullet">
    <w:name w:val="Note Bullet"/>
    <w:basedOn w:val="Note"/>
    <w:rsid w:val="00ED2C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C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C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C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C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2C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C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CD6"/>
    <w:rPr>
      <w:b/>
      <w:smallCaps/>
    </w:rPr>
  </w:style>
  <w:style w:type="paragraph" w:customStyle="1" w:styleId="TableListNumber">
    <w:name w:val="Table List Number"/>
    <w:basedOn w:val="ListNumber"/>
    <w:rsid w:val="00ED2C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C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CD6"/>
    <w:pPr>
      <w:numPr>
        <w:numId w:val="8"/>
      </w:numPr>
    </w:pPr>
  </w:style>
  <w:style w:type="paragraph" w:customStyle="1" w:styleId="ListAlpha2">
    <w:name w:val="List Alpha 2"/>
    <w:basedOn w:val="List2"/>
    <w:rsid w:val="00ED2CD6"/>
    <w:pPr>
      <w:numPr>
        <w:numId w:val="7"/>
      </w:numPr>
    </w:pPr>
  </w:style>
  <w:style w:type="paragraph" w:styleId="List2">
    <w:name w:val="List 2"/>
    <w:basedOn w:val="BodyText"/>
    <w:rsid w:val="00ED2C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C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C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C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C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C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2CD6"/>
    <w:pPr>
      <w:numPr>
        <w:numId w:val="3"/>
      </w:numPr>
    </w:pPr>
  </w:style>
  <w:style w:type="paragraph" w:styleId="ListContinue2">
    <w:name w:val="List Continue 2"/>
    <w:basedOn w:val="List2"/>
    <w:rsid w:val="00ED2CD6"/>
    <w:pPr>
      <w:ind w:firstLine="0"/>
    </w:pPr>
  </w:style>
  <w:style w:type="paragraph" w:styleId="ListContinue3">
    <w:name w:val="List Continue 3"/>
    <w:basedOn w:val="List3"/>
    <w:rsid w:val="00ED2CD6"/>
    <w:pPr>
      <w:ind w:left="1021" w:firstLine="0"/>
    </w:pPr>
  </w:style>
  <w:style w:type="paragraph" w:styleId="ListContinue4">
    <w:name w:val="List Continue 4"/>
    <w:basedOn w:val="List4"/>
    <w:rsid w:val="00ED2CD6"/>
    <w:pPr>
      <w:ind w:firstLine="0"/>
    </w:pPr>
  </w:style>
  <w:style w:type="paragraph" w:styleId="ListContinue5">
    <w:name w:val="List Continue 5"/>
    <w:basedOn w:val="List5"/>
    <w:rsid w:val="00ED2CD6"/>
    <w:pPr>
      <w:ind w:firstLine="0"/>
    </w:pPr>
  </w:style>
  <w:style w:type="paragraph" w:styleId="ListNumber3">
    <w:name w:val="List Number 3"/>
    <w:basedOn w:val="List3"/>
    <w:rsid w:val="00ED2CD6"/>
    <w:pPr>
      <w:numPr>
        <w:numId w:val="4"/>
      </w:numPr>
    </w:pPr>
  </w:style>
  <w:style w:type="paragraph" w:styleId="ListNumber4">
    <w:name w:val="List Number 4"/>
    <w:basedOn w:val="List4"/>
    <w:rsid w:val="00ED2CD6"/>
    <w:pPr>
      <w:numPr>
        <w:numId w:val="5"/>
      </w:numPr>
    </w:pPr>
  </w:style>
  <w:style w:type="paragraph" w:styleId="ListNumber5">
    <w:name w:val="List Number 5"/>
    <w:basedOn w:val="List5"/>
    <w:rsid w:val="00ED2CD6"/>
    <w:pPr>
      <w:numPr>
        <w:numId w:val="6"/>
      </w:numPr>
    </w:pPr>
  </w:style>
  <w:style w:type="paragraph" w:styleId="BlockText">
    <w:name w:val="Block Text"/>
    <w:basedOn w:val="Normal"/>
    <w:rsid w:val="00ED2C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C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CD6"/>
    <w:rPr>
      <w:sz w:val="16"/>
      <w:vertAlign w:val="superscript"/>
    </w:rPr>
  </w:style>
  <w:style w:type="character" w:customStyle="1" w:styleId="Symbols">
    <w:name w:val="Symbols"/>
    <w:basedOn w:val="DefaultParagraphFont"/>
    <w:rsid w:val="00ED2CD6"/>
    <w:rPr>
      <w:rFonts w:ascii="Symbol" w:hAnsi="Symbol"/>
    </w:rPr>
  </w:style>
  <w:style w:type="character" w:customStyle="1" w:styleId="MenuOptions">
    <w:name w:val="Menu Options"/>
    <w:basedOn w:val="DefaultParagraphFont"/>
    <w:rsid w:val="00ED2C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CD6"/>
    <w:rPr>
      <w:b/>
    </w:rPr>
  </w:style>
  <w:style w:type="character" w:customStyle="1" w:styleId="Underlined">
    <w:name w:val="Underlined"/>
    <w:basedOn w:val="DefaultParagraphFont"/>
    <w:rsid w:val="00ED2CD6"/>
    <w:rPr>
      <w:u w:val="single"/>
    </w:rPr>
  </w:style>
  <w:style w:type="paragraph" w:customStyle="1" w:styleId="TableBodyTextRight">
    <w:name w:val="Table Body Text Right"/>
    <w:basedOn w:val="TableBodyText"/>
    <w:rsid w:val="00ED2C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CD6"/>
    <w:rPr>
      <w:sz w:val="18"/>
    </w:rPr>
  </w:style>
  <w:style w:type="paragraph" w:customStyle="1" w:styleId="BodySmallRight">
    <w:name w:val="Body Small Right"/>
    <w:basedOn w:val="BodyTextRight"/>
    <w:rsid w:val="00ED2CD6"/>
    <w:rPr>
      <w:sz w:val="18"/>
      <w:szCs w:val="18"/>
    </w:rPr>
  </w:style>
  <w:style w:type="paragraph" w:customStyle="1" w:styleId="MarginEdition">
    <w:name w:val="Margin Edition"/>
    <w:basedOn w:val="MarginNote"/>
    <w:rsid w:val="00ED2C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CD6"/>
    <w:rPr>
      <w:sz w:val="2"/>
      <w:szCs w:val="2"/>
    </w:rPr>
  </w:style>
  <w:style w:type="character" w:customStyle="1" w:styleId="Small">
    <w:name w:val="Small"/>
    <w:basedOn w:val="DefaultParagraphFont"/>
    <w:rsid w:val="00ED2CD6"/>
    <w:rPr>
      <w:sz w:val="16"/>
    </w:rPr>
  </w:style>
  <w:style w:type="paragraph" w:customStyle="1" w:styleId="WideTable">
    <w:name w:val="Wide Table"/>
    <w:basedOn w:val="Normal"/>
    <w:rsid w:val="00ED2C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CD6"/>
  </w:style>
  <w:style w:type="paragraph" w:styleId="Quote">
    <w:name w:val="Quote"/>
    <w:basedOn w:val="Heading1"/>
    <w:link w:val="QuoteChar"/>
    <w:qFormat/>
    <w:rsid w:val="00ED2C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C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CD6"/>
    <w:pPr>
      <w:pageBreakBefore/>
    </w:pPr>
  </w:style>
  <w:style w:type="paragraph" w:customStyle="1" w:styleId="Border">
    <w:name w:val="Border"/>
    <w:basedOn w:val="Normal"/>
    <w:qFormat/>
    <w:rsid w:val="00ED2C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C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C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C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C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C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C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C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C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CD6"/>
    <w:rPr>
      <w:u w:val="single"/>
    </w:rPr>
  </w:style>
  <w:style w:type="character" w:customStyle="1" w:styleId="BoldandItalics">
    <w:name w:val="Bold and Italics"/>
    <w:qFormat/>
    <w:rsid w:val="00ED2CD6"/>
    <w:rPr>
      <w:b/>
      <w:i/>
      <w:u w:val="none"/>
    </w:rPr>
  </w:style>
  <w:style w:type="paragraph" w:styleId="BalloonText">
    <w:name w:val="Balloon Text"/>
    <w:basedOn w:val="Normal"/>
    <w:link w:val="BalloonTextChar"/>
    <w:rsid w:val="00ED2C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C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C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C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C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C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CD6"/>
    <w:pPr>
      <w:spacing w:before="0" w:after="0"/>
    </w:pPr>
  </w:style>
  <w:style w:type="paragraph" w:customStyle="1" w:styleId="BodyTextBold">
    <w:name w:val="Body Text Bold"/>
    <w:basedOn w:val="BodyText"/>
    <w:qFormat/>
    <w:rsid w:val="00ED2CD6"/>
    <w:rPr>
      <w:b/>
    </w:rPr>
  </w:style>
  <w:style w:type="character" w:styleId="Hyperlink">
    <w:name w:val="Hyperlink"/>
    <w:basedOn w:val="DefaultParagraphFont"/>
    <w:uiPriority w:val="99"/>
    <w:unhideWhenUsed/>
    <w:rsid w:val="00286C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4988</Characters>
  <Application>Microsoft Office Word</Application>
  <DocSecurity>0</DocSecurity>
  <Lines>199</Lines>
  <Paragraphs>91</Paragraphs>
  <ScaleCrop>false</ScaleCrop>
  <Company>Author-it Software Corporation Ltd.</Company>
  <LinksUpToDate>false</LinksUpToDate>
  <CharactersWithSpaces>5675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TLIO5020 Advise on and manage security and safety in international freight transport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2024-07-12T07:24:00Z</dcterms:created>
  <dcterms:modified xsi:type="dcterms:W3CDTF">2024-07-12T07:24:00Z</dcterms:modified>
</cp:coreProperties>
</file>