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151E" w:rsidP="00BB15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TLIO5018 Manage compliance with customs excise</w:t>
      </w:r>
      <w:r>
        <w:fldChar w:fldCharType="end"/>
      </w:r>
    </w:p>
    <w:p w:rsidR="00BB151E" w:rsidP="00BB151E">
      <w:pPr>
        <w:pStyle w:val="Version"/>
        <w:sectPr w:rsidSect="00D72A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2A08" w:rsidP="00D72A08">
      <w:pPr>
        <w:pStyle w:val="SuperHeading"/>
      </w:pPr>
      <w:r w:rsidRPr="00D72A08">
        <w:t>TLIO5018 Manage compliance with customs excise</w:t>
      </w:r>
    </w:p>
    <w:p w:rsidR="00000000" w:rsidRPr="00D72A08" w:rsidP="00D72A08">
      <w:pPr>
        <w:pStyle w:val="Heading1"/>
      </w:pPr>
      <w:bookmarkStart w:id="1" w:name="O_741335"/>
      <w:bookmarkEnd w:id="1"/>
      <w:r w:rsidRPr="00D72A08">
        <w:t>Modification History</w:t>
      </w:r>
    </w:p>
    <w:p w:rsidR="00BB151E" w:rsidP="00BB151E">
      <w:pPr>
        <w:pStyle w:val="BodyText"/>
      </w:pPr>
      <w:r w:rsidRPr="00D72A08">
        <w:t>Release 1. This is the first release of this unit of competency in the TLI Transport and Logistics Training Package.</w:t>
      </w:r>
    </w:p>
    <w:p w:rsidR="00000000" w:rsidRPr="00D72A08" w:rsidP="00D72A08">
      <w:pPr>
        <w:pStyle w:val="Heading1"/>
      </w:pPr>
      <w:bookmarkStart w:id="2" w:name="O_741336"/>
      <w:bookmarkEnd w:id="2"/>
      <w:r w:rsidRPr="00D72A08">
        <w:t>Application</w:t>
      </w:r>
    </w:p>
    <w:p w:rsidR="00000000" w:rsidRPr="00D72A08" w:rsidP="00BB151E">
      <w:pPr>
        <w:pStyle w:val="BodyText"/>
      </w:pPr>
      <w:r w:rsidRPr="00D72A08">
        <w:t>This unit involves the skills and knowledge required to manage compliance with c</w:t>
      </w:r>
      <w:r w:rsidRPr="00D72A08">
        <w:t>ustoms excise as part of work undertaken in various contexts within the transport and logistics industry.</w:t>
      </w:r>
    </w:p>
    <w:p w:rsidR="00000000" w:rsidRPr="00D72A08" w:rsidP="00BB151E">
      <w:pPr>
        <w:pStyle w:val="BodyText"/>
      </w:pPr>
      <w:r w:rsidRPr="00D72A08">
        <w:t>It includes determining the rate of excise under the Customs Tariff Act 1995, determining any conditions and exceptions that apply to goods, interpret</w:t>
      </w:r>
      <w:r w:rsidRPr="00D72A08">
        <w:t>ing concessional rates of duty, calculating duty amounts and following documentation requirements.</w:t>
      </w:r>
    </w:p>
    <w:p w:rsidR="00000000" w:rsidRPr="00D72A08" w:rsidP="00BB151E">
      <w:pPr>
        <w:pStyle w:val="BodyText"/>
      </w:pPr>
      <w:r w:rsidRPr="00D72A08">
        <w:t>The unit generally applies to those who lead individuals or teams.</w:t>
      </w:r>
    </w:p>
    <w:p w:rsidR="00BB151E" w:rsidP="00BB151E">
      <w:pPr>
        <w:pStyle w:val="BodyText"/>
      </w:pPr>
      <w:r w:rsidRPr="00D72A08">
        <w:t xml:space="preserve">No licensing, legislative or certification requirements apply to this unit at the time of </w:t>
      </w:r>
      <w:r w:rsidRPr="00D72A08">
        <w:t>publication.</w:t>
      </w:r>
    </w:p>
    <w:p w:rsidR="00000000" w:rsidRPr="00D72A08" w:rsidP="00D72A08">
      <w:pPr>
        <w:pStyle w:val="Heading1"/>
      </w:pPr>
      <w:bookmarkStart w:id="3" w:name="O_741337"/>
      <w:bookmarkEnd w:id="3"/>
      <w:r w:rsidRPr="00D72A08">
        <w:t>Pre-requisite Unit</w:t>
      </w:r>
    </w:p>
    <w:p w:rsidR="00000000" w:rsidRPr="00D72A08" w:rsidP="00BB151E">
      <w:pPr>
        <w:pStyle w:val="BodyText"/>
      </w:pPr>
      <w:r w:rsidRPr="00D72A08">
        <w:t>Not applicable.</w:t>
      </w:r>
    </w:p>
    <w:p w:rsidR="00000000" w:rsidRPr="00D72A08" w:rsidP="00D72A08">
      <w:pPr>
        <w:pStyle w:val="Heading1"/>
      </w:pPr>
      <w:bookmarkStart w:id="4" w:name="O_741338"/>
      <w:bookmarkEnd w:id="4"/>
      <w:r w:rsidRPr="00D72A08">
        <w:t>Competency Field</w:t>
      </w:r>
    </w:p>
    <w:p w:rsidR="00000000" w:rsidRPr="00D72A08" w:rsidP="00BB151E">
      <w:pPr>
        <w:pStyle w:val="BodyText"/>
      </w:pPr>
      <w:r w:rsidRPr="00D72A08">
        <w:t>O - Security</w:t>
      </w:r>
    </w:p>
    <w:p w:rsidR="00000000" w:rsidRPr="00D72A08" w:rsidP="00D72A08">
      <w:pPr>
        <w:pStyle w:val="Heading1"/>
      </w:pPr>
      <w:bookmarkStart w:id="5" w:name="O_741339"/>
      <w:bookmarkEnd w:id="5"/>
      <w:r w:rsidRPr="00D72A08">
        <w:t>Unit Sector</w:t>
      </w:r>
    </w:p>
    <w:p w:rsidR="00000000" w:rsidRPr="00D72A08" w:rsidP="00BB151E">
      <w:pPr>
        <w:pStyle w:val="BodyText"/>
      </w:pPr>
      <w:r w:rsidRPr="00D72A08">
        <w:t>Not applicable.</w:t>
      </w:r>
    </w:p>
    <w:p w:rsidR="00000000" w:rsidRPr="00D72A08" w:rsidP="00D72A08">
      <w:pPr>
        <w:pStyle w:val="Heading1"/>
      </w:pPr>
      <w:bookmarkStart w:id="6" w:name="O_741340"/>
      <w:bookmarkEnd w:id="6"/>
      <w:r w:rsidRPr="00D72A0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6"/>
        <w:gridCol w:w="1680"/>
        <w:gridCol w:w="525"/>
        <w:gridCol w:w="6675"/>
      </w:tblGrid>
      <w:tr w:rsidTr="00BB15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08" w:rsidP="00D72A08">
            <w:pPr>
              <w:pStyle w:val="BodyText"/>
            </w:pPr>
            <w:r w:rsidRPr="00D72A0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rPr>
                <w:rStyle w:val="SpecialBold"/>
              </w:rPr>
              <w:t>PERFORMANCE CRITERIA</w:t>
            </w:r>
          </w:p>
        </w:tc>
      </w:tr>
      <w:tr w:rsidTr="00BB15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Performance criteria describe the performance needed to demonstrate achievement of the element.</w:t>
            </w:r>
          </w:p>
        </w:tc>
      </w:tr>
      <w:tr w:rsidTr="00BB15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08" w:rsidP="00D72A08">
            <w:pPr>
              <w:pStyle w:val="BodyText"/>
            </w:pPr>
            <w:r w:rsidRPr="00D72A0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rPr>
                <w:rStyle w:val="SpecialBold"/>
              </w:rPr>
              <w:t xml:space="preserve">Determine the rate of excise under the </w:t>
            </w:r>
            <w:r w:rsidRPr="00D72A08">
              <w:rPr>
                <w:rStyle w:val="SpecialBold"/>
              </w:rPr>
              <w:t xml:space="preserve">Customs Tariff Act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 xml:space="preserve">Classification of goods are made according to the </w:t>
            </w:r>
            <w:r w:rsidRPr="00D72A08">
              <w:t xml:space="preserve">Customs Tariff Act </w:t>
            </w:r>
          </w:p>
        </w:tc>
      </w:tr>
      <w:tr w:rsidTr="00BB15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Goods that incur a customs excise are identified</w:t>
            </w:r>
          </w:p>
        </w:tc>
      </w:tr>
      <w:tr w:rsidTr="00BB15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Appropriate rate of excise is assessed and applied to the goods</w:t>
            </w:r>
          </w:p>
        </w:tc>
      </w:tr>
      <w:tr w:rsidTr="00BB15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08" w:rsidP="00D72A08">
            <w:pPr>
              <w:pStyle w:val="BodyText"/>
            </w:pPr>
            <w:r w:rsidRPr="00D72A0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rPr>
                <w:rStyle w:val="SpecialBold"/>
              </w:rPr>
              <w:t>Determine any excise conditions and exceptions that apply to the goods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Tariff classification is applied to the goods</w:t>
            </w:r>
          </w:p>
        </w:tc>
      </w:tr>
      <w:tr w:rsidTr="00BB15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Determination is made as to whether the goods qualify for preferential treatment under free trade agreements and/or other preferential trade agreements</w:t>
            </w:r>
          </w:p>
        </w:tc>
      </w:tr>
      <w:tr w:rsidTr="00BB15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Special duty rates for the goods are determined</w:t>
            </w:r>
          </w:p>
        </w:tc>
      </w:tr>
      <w:tr w:rsidTr="00BB15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Determination is made about what types of duty apply to the goods</w:t>
            </w:r>
          </w:p>
        </w:tc>
      </w:tr>
      <w:tr w:rsidTr="00BB15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08" w:rsidP="00D72A08">
            <w:pPr>
              <w:pStyle w:val="BodyText"/>
            </w:pPr>
            <w:r w:rsidRPr="00D72A0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rPr>
                <w:rStyle w:val="SpecialBold"/>
              </w:rPr>
              <w:t xml:space="preserve">Interpret concessional rates of duty according to the Customs Tariff Act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Interpretative rules of the Customs Tariff Act are app</w:t>
            </w:r>
            <w:r w:rsidRPr="00D72A08">
              <w:t>lied</w:t>
            </w:r>
          </w:p>
        </w:tc>
      </w:tr>
      <w:tr w:rsidTr="00BB15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Duty concession AusIndustry assistance schemes are applied to the goods</w:t>
            </w:r>
          </w:p>
        </w:tc>
      </w:tr>
      <w:tr w:rsidTr="00BB15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Relevant tariff concession order is interpreted</w:t>
            </w:r>
          </w:p>
        </w:tc>
      </w:tr>
      <w:tr w:rsidTr="00BB15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08" w:rsidP="00D72A08">
            <w:pPr>
              <w:pStyle w:val="BodyText"/>
            </w:pPr>
            <w:r w:rsidRPr="00D72A08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rPr>
                <w:rStyle w:val="SpecialBold"/>
              </w:rPr>
              <w:t>Determine duty amount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Duty amount payable is calculated</w:t>
            </w:r>
          </w:p>
        </w:tc>
      </w:tr>
      <w:tr w:rsidTr="00BB15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Accuracy of the duty calculation is verified</w:t>
            </w:r>
          </w:p>
        </w:tc>
      </w:tr>
      <w:tr w:rsidTr="00BB15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INCOTERMS 2000 relevant to the invoice are identified</w:t>
            </w:r>
          </w:p>
        </w:tc>
      </w:tr>
      <w:tr w:rsidTr="00BB15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Determination is made as to whether and when duty is payable</w:t>
            </w:r>
          </w:p>
        </w:tc>
      </w:tr>
      <w:tr w:rsidTr="00BB15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08" w:rsidP="00D72A08">
            <w:pPr>
              <w:pStyle w:val="BodyText"/>
            </w:pPr>
            <w:r w:rsidRPr="00D72A08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rPr>
                <w:rStyle w:val="SpecialBold"/>
              </w:rPr>
              <w:t>Follow documentation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Relevant documentation is passed on to the client</w:t>
            </w:r>
          </w:p>
        </w:tc>
      </w:tr>
      <w:tr w:rsidTr="00BB15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A08">
            <w:pPr>
              <w:pStyle w:val="BodyText"/>
              <w:rPr>
                <w:lang w:val="en-NZ"/>
              </w:rPr>
            </w:pPr>
            <w:r w:rsidRPr="00D72A08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A08" w:rsidP="00D72A08">
            <w:pPr>
              <w:pStyle w:val="BodyText"/>
            </w:pPr>
            <w:r w:rsidRPr="00D72A08">
              <w:t>Completed documentation is processed to ensure it is retained by relevant enterprise personnel, in accordance with customs requirements, and related legislation and workplace procedures</w:t>
            </w:r>
          </w:p>
        </w:tc>
      </w:tr>
    </w:tbl>
    <w:p w:rsidR="00BB151E" w:rsidP="00D72A08">
      <w:pPr>
        <w:pStyle w:val="BodyText"/>
      </w:pPr>
    </w:p>
    <w:p w:rsidR="00BB151E" w:rsidP="00D72A08">
      <w:pPr>
        <w:pStyle w:val="BodyText"/>
      </w:pPr>
    </w:p>
    <w:p w:rsidR="00000000" w:rsidRPr="00D72A08" w:rsidP="00D72A08">
      <w:pPr>
        <w:pStyle w:val="Heading1"/>
      </w:pPr>
      <w:bookmarkStart w:id="7" w:name="O_741341"/>
      <w:bookmarkEnd w:id="7"/>
      <w:r w:rsidRPr="00D72A08">
        <w:t>Foundation Skills</w:t>
      </w:r>
    </w:p>
    <w:p w:rsidR="00000000" w:rsidRPr="00D72A08" w:rsidP="00BB151E">
      <w:pPr>
        <w:pStyle w:val="BodyText"/>
      </w:pPr>
      <w:r w:rsidRPr="00D72A08">
        <w:t>Foundation skills essential to performance are explicit in the performance criteria of this unit of competency.</w:t>
      </w:r>
    </w:p>
    <w:p w:rsidR="00000000" w:rsidRPr="00D72A08" w:rsidP="00D72A08">
      <w:pPr>
        <w:pStyle w:val="Heading1"/>
      </w:pPr>
      <w:bookmarkStart w:id="8" w:name="O_741342"/>
      <w:bookmarkEnd w:id="8"/>
      <w:r w:rsidRPr="00D72A08">
        <w:t>Range of Conditions</w:t>
      </w:r>
    </w:p>
    <w:p w:rsidR="00000000" w:rsidRPr="00D72A08" w:rsidP="00BB151E">
      <w:pPr>
        <w:pStyle w:val="BodyText"/>
      </w:pPr>
      <w:r w:rsidRPr="00D72A08">
        <w:t>Range is restricted to essential operating conditions and any other variables essential to the work environ</w:t>
      </w:r>
      <w:r w:rsidRPr="00D72A08">
        <w:t>ment.</w:t>
      </w:r>
    </w:p>
    <w:p w:rsidR="00BB151E" w:rsidP="00BB151E">
      <w:pPr>
        <w:pStyle w:val="BodyText"/>
      </w:pPr>
      <w:r w:rsidRPr="00D72A08">
        <w:t>Non-essential conditions can be found in the Companion Volume Implementation Guide.</w:t>
      </w:r>
    </w:p>
    <w:p w:rsidR="00000000" w:rsidRPr="00D72A08" w:rsidP="00D72A08">
      <w:pPr>
        <w:pStyle w:val="Heading1"/>
      </w:pPr>
      <w:bookmarkStart w:id="9" w:name="O_741343"/>
      <w:bookmarkEnd w:id="9"/>
      <w:r w:rsidRPr="00D72A08">
        <w:t>Unit Mapping Information</w:t>
      </w:r>
    </w:p>
    <w:p w:rsidR="00000000" w:rsidRPr="00D72A08" w:rsidP="00BB151E">
      <w:pPr>
        <w:pStyle w:val="BodyText"/>
      </w:pPr>
      <w:r w:rsidRPr="00D72A08">
        <w:t>This unit replaces and is equivalent to TLIO5018A Manage compliance with customs excise.</w:t>
      </w:r>
    </w:p>
    <w:p w:rsidR="00000000" w:rsidRPr="00D72A08" w:rsidP="00D72A08">
      <w:pPr>
        <w:pStyle w:val="Heading1"/>
      </w:pPr>
      <w:bookmarkStart w:id="10" w:name="O_741350"/>
      <w:bookmarkEnd w:id="10"/>
      <w:r w:rsidRPr="00D72A08">
        <w:t>Links</w:t>
      </w:r>
    </w:p>
    <w:p w:rsidR="00000000" w:rsidRPr="00D72A08" w:rsidP="00BB151E">
      <w:pPr>
        <w:pStyle w:val="BodyText"/>
      </w:pPr>
      <w:r w:rsidRPr="00D72A08">
        <w:t>Companion V</w:t>
      </w:r>
      <w:r w:rsidRPr="00D72A08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C153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72A08" w:rsidP="00D72A08"/>
    <w:sectPr w:rsidSect="00D72A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08" w:rsidRPr="00BB151E" w:rsidP="00BB15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51E" w:rsidP="00D72A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151E" w:rsidP="00D72A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B151E" w:rsidP="00D72A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5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2A08" w:rsidRPr="00BB151E" w:rsidP="00BB15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51E" w:rsidRPr="002D2AF8" w:rsidP="00D72A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TLIO5018 Manage compliance with customs excise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B151E" w:rsidP="00D72A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A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2A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2A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2A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2A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2A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2A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2A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2A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2A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2A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2A08"/>
  </w:style>
  <w:style w:type="character" w:customStyle="1" w:styleId="Heading1Char">
    <w:name w:val="Heading 1 Char"/>
    <w:basedOn w:val="DefaultParagraphFont"/>
    <w:link w:val="Heading1"/>
    <w:rsid w:val="00D72A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2A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2A0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72A08"/>
    <w:rPr>
      <w:b/>
      <w:spacing w:val="0"/>
    </w:rPr>
  </w:style>
  <w:style w:type="paragraph" w:customStyle="1" w:styleId="SuperHeading">
    <w:name w:val="SuperHeading"/>
    <w:basedOn w:val="Normal"/>
    <w:rsid w:val="00D72A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2A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2A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2A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2A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2A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2A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2A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2A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2A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2A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2A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2A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2A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2A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2A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2A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2A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2A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2A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2A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2A0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2A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2A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2A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2A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2A0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2A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2A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2A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2A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2A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2A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2A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2A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2A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2A08"/>
    <w:rPr>
      <w:i/>
    </w:rPr>
  </w:style>
  <w:style w:type="paragraph" w:styleId="Caption">
    <w:name w:val="caption"/>
    <w:basedOn w:val="BodyText"/>
    <w:next w:val="Normal"/>
    <w:qFormat/>
    <w:rsid w:val="00D72A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2A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2A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2A08"/>
  </w:style>
  <w:style w:type="paragraph" w:styleId="TableofFigures">
    <w:name w:val="table of figures"/>
    <w:basedOn w:val="Normal"/>
    <w:next w:val="Normal"/>
    <w:semiHidden/>
    <w:rsid w:val="00D72A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2A0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72A08"/>
    <w:rPr>
      <w:rFonts w:ascii="Wingdings" w:hAnsi="Wingdings"/>
    </w:rPr>
  </w:style>
  <w:style w:type="paragraph" w:customStyle="1" w:styleId="TableHeading">
    <w:name w:val="Table Heading"/>
    <w:basedOn w:val="HeadingBase"/>
    <w:rsid w:val="00D72A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2A08"/>
    <w:rPr>
      <w:color w:val="0033CC"/>
      <w:u w:val="none"/>
    </w:rPr>
  </w:style>
  <w:style w:type="paragraph" w:customStyle="1" w:styleId="BodyTextRight">
    <w:name w:val="Body Text Right"/>
    <w:basedOn w:val="BodyText"/>
    <w:rsid w:val="00D72A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2A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2A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2A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2A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2A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2A08"/>
    <w:rPr>
      <w:sz w:val="32"/>
    </w:rPr>
  </w:style>
  <w:style w:type="paragraph" w:customStyle="1" w:styleId="HeadingProcedure">
    <w:name w:val="Heading Procedure"/>
    <w:basedOn w:val="HeadingBase"/>
    <w:next w:val="Normal"/>
    <w:rsid w:val="00D72A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2A08"/>
    <w:pPr>
      <w:spacing w:before="60" w:after="60"/>
    </w:pPr>
  </w:style>
  <w:style w:type="paragraph" w:styleId="ListContinue">
    <w:name w:val="List Continue"/>
    <w:basedOn w:val="List"/>
    <w:rsid w:val="00D72A08"/>
    <w:pPr>
      <w:ind w:firstLine="0"/>
    </w:pPr>
  </w:style>
  <w:style w:type="paragraph" w:customStyle="1" w:styleId="ListNote">
    <w:name w:val="List Note"/>
    <w:basedOn w:val="List"/>
    <w:rsid w:val="00D72A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2A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2A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2A08"/>
    <w:rPr>
      <w:rFonts w:ascii="Courier New" w:hAnsi="Courier New"/>
    </w:rPr>
  </w:style>
  <w:style w:type="paragraph" w:customStyle="1" w:styleId="NoteBullet">
    <w:name w:val="Note Bullet"/>
    <w:basedOn w:val="Note"/>
    <w:rsid w:val="00D72A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2A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2A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2A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2A0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72A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2A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2A08"/>
    <w:rPr>
      <w:b/>
      <w:smallCaps/>
    </w:rPr>
  </w:style>
  <w:style w:type="paragraph" w:customStyle="1" w:styleId="TableListNumber">
    <w:name w:val="Table List Number"/>
    <w:basedOn w:val="ListNumber"/>
    <w:rsid w:val="00D72A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2A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2A08"/>
    <w:pPr>
      <w:numPr>
        <w:numId w:val="7"/>
      </w:numPr>
    </w:pPr>
  </w:style>
  <w:style w:type="paragraph" w:customStyle="1" w:styleId="ListAlpha2">
    <w:name w:val="List Alpha 2"/>
    <w:basedOn w:val="List2"/>
    <w:rsid w:val="00D72A08"/>
    <w:pPr>
      <w:numPr>
        <w:numId w:val="6"/>
      </w:numPr>
    </w:pPr>
  </w:style>
  <w:style w:type="paragraph" w:styleId="List2">
    <w:name w:val="List 2"/>
    <w:basedOn w:val="BodyText"/>
    <w:rsid w:val="00D72A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2A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2A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2A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2A0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2A0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2A08"/>
    <w:pPr>
      <w:numPr>
        <w:numId w:val="2"/>
      </w:numPr>
    </w:pPr>
  </w:style>
  <w:style w:type="paragraph" w:styleId="ListContinue2">
    <w:name w:val="List Continue 2"/>
    <w:basedOn w:val="List2"/>
    <w:rsid w:val="00D72A08"/>
    <w:pPr>
      <w:ind w:firstLine="0"/>
    </w:pPr>
  </w:style>
  <w:style w:type="paragraph" w:styleId="ListContinue3">
    <w:name w:val="List Continue 3"/>
    <w:basedOn w:val="List3"/>
    <w:rsid w:val="00D72A08"/>
    <w:pPr>
      <w:ind w:left="1021" w:firstLine="0"/>
    </w:pPr>
  </w:style>
  <w:style w:type="paragraph" w:styleId="ListContinue4">
    <w:name w:val="List Continue 4"/>
    <w:basedOn w:val="List4"/>
    <w:rsid w:val="00D72A08"/>
    <w:pPr>
      <w:ind w:firstLine="0"/>
    </w:pPr>
  </w:style>
  <w:style w:type="paragraph" w:styleId="ListContinue5">
    <w:name w:val="List Continue 5"/>
    <w:basedOn w:val="List5"/>
    <w:rsid w:val="00D72A08"/>
    <w:pPr>
      <w:ind w:firstLine="0"/>
    </w:pPr>
  </w:style>
  <w:style w:type="paragraph" w:styleId="ListNumber3">
    <w:name w:val="List Number 3"/>
    <w:basedOn w:val="List3"/>
    <w:rsid w:val="00D72A08"/>
    <w:pPr>
      <w:numPr>
        <w:numId w:val="3"/>
      </w:numPr>
    </w:pPr>
  </w:style>
  <w:style w:type="paragraph" w:styleId="ListNumber4">
    <w:name w:val="List Number 4"/>
    <w:basedOn w:val="List4"/>
    <w:rsid w:val="00D72A08"/>
    <w:pPr>
      <w:numPr>
        <w:numId w:val="4"/>
      </w:numPr>
    </w:pPr>
  </w:style>
  <w:style w:type="paragraph" w:styleId="ListNumber5">
    <w:name w:val="List Number 5"/>
    <w:basedOn w:val="List5"/>
    <w:rsid w:val="00D72A08"/>
    <w:pPr>
      <w:numPr>
        <w:numId w:val="5"/>
      </w:numPr>
    </w:pPr>
  </w:style>
  <w:style w:type="paragraph" w:styleId="BlockText">
    <w:name w:val="Block Text"/>
    <w:basedOn w:val="Normal"/>
    <w:rsid w:val="00D72A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2A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2A08"/>
    <w:rPr>
      <w:sz w:val="16"/>
      <w:vertAlign w:val="superscript"/>
    </w:rPr>
  </w:style>
  <w:style w:type="character" w:customStyle="1" w:styleId="Symbols">
    <w:name w:val="Symbols"/>
    <w:basedOn w:val="DefaultParagraphFont"/>
    <w:rsid w:val="00D72A08"/>
    <w:rPr>
      <w:rFonts w:ascii="Symbol" w:hAnsi="Symbol"/>
    </w:rPr>
  </w:style>
  <w:style w:type="character" w:customStyle="1" w:styleId="MenuOptions">
    <w:name w:val="Menu Options"/>
    <w:basedOn w:val="DefaultParagraphFont"/>
    <w:rsid w:val="00D72A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2A08"/>
    <w:rPr>
      <w:b/>
    </w:rPr>
  </w:style>
  <w:style w:type="character" w:customStyle="1" w:styleId="Underlined">
    <w:name w:val="Underlined"/>
    <w:basedOn w:val="DefaultParagraphFont"/>
    <w:rsid w:val="00D72A08"/>
    <w:rPr>
      <w:u w:val="single"/>
    </w:rPr>
  </w:style>
  <w:style w:type="paragraph" w:customStyle="1" w:styleId="TableBodyTextRight">
    <w:name w:val="Table Body Text Right"/>
    <w:basedOn w:val="TableBodyText"/>
    <w:rsid w:val="00D72A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2A08"/>
    <w:rPr>
      <w:sz w:val="18"/>
    </w:rPr>
  </w:style>
  <w:style w:type="paragraph" w:customStyle="1" w:styleId="BodySmallRight">
    <w:name w:val="Body Small Right"/>
    <w:basedOn w:val="BodyTextRight"/>
    <w:rsid w:val="00D72A08"/>
    <w:rPr>
      <w:sz w:val="18"/>
      <w:szCs w:val="18"/>
    </w:rPr>
  </w:style>
  <w:style w:type="paragraph" w:customStyle="1" w:styleId="MarginEdition">
    <w:name w:val="Margin Edition"/>
    <w:basedOn w:val="MarginNote"/>
    <w:rsid w:val="00D72A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2A08"/>
    <w:rPr>
      <w:sz w:val="2"/>
      <w:szCs w:val="2"/>
    </w:rPr>
  </w:style>
  <w:style w:type="character" w:customStyle="1" w:styleId="Small">
    <w:name w:val="Small"/>
    <w:basedOn w:val="DefaultParagraphFont"/>
    <w:rsid w:val="00D72A08"/>
    <w:rPr>
      <w:sz w:val="16"/>
    </w:rPr>
  </w:style>
  <w:style w:type="paragraph" w:customStyle="1" w:styleId="WideTable">
    <w:name w:val="Wide Table"/>
    <w:basedOn w:val="Normal"/>
    <w:rsid w:val="00D72A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2A08"/>
  </w:style>
  <w:style w:type="paragraph" w:styleId="Quote">
    <w:name w:val="Quote"/>
    <w:basedOn w:val="Heading1"/>
    <w:link w:val="QuoteChar"/>
    <w:qFormat/>
    <w:rsid w:val="00D72A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2A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2A08"/>
    <w:pPr>
      <w:pageBreakBefore/>
    </w:pPr>
  </w:style>
  <w:style w:type="paragraph" w:customStyle="1" w:styleId="Border">
    <w:name w:val="Border"/>
    <w:basedOn w:val="Normal"/>
    <w:qFormat/>
    <w:rsid w:val="00D72A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2A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A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A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2A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2A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2A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2A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2A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2A08"/>
    <w:rPr>
      <w:u w:val="single"/>
    </w:rPr>
  </w:style>
  <w:style w:type="character" w:customStyle="1" w:styleId="BoldandItalics">
    <w:name w:val="Bold and Italics"/>
    <w:qFormat/>
    <w:rsid w:val="00D72A08"/>
    <w:rPr>
      <w:b/>
      <w:i/>
      <w:u w:val="none"/>
    </w:rPr>
  </w:style>
  <w:style w:type="paragraph" w:styleId="BalloonText">
    <w:name w:val="Balloon Text"/>
    <w:basedOn w:val="Normal"/>
    <w:link w:val="BalloonTextChar"/>
    <w:rsid w:val="00D72A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2A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2A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2A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2A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2A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2A08"/>
    <w:pPr>
      <w:spacing w:before="0" w:after="0"/>
    </w:pPr>
  </w:style>
  <w:style w:type="paragraph" w:customStyle="1" w:styleId="BodyTextBold">
    <w:name w:val="Body Text Bold"/>
    <w:basedOn w:val="BodyText"/>
    <w:qFormat/>
    <w:rsid w:val="00D72A08"/>
    <w:rPr>
      <w:b/>
    </w:rPr>
  </w:style>
  <w:style w:type="character" w:styleId="Hyperlink">
    <w:name w:val="Hyperlink"/>
    <w:basedOn w:val="DefaultParagraphFont"/>
    <w:uiPriority w:val="99"/>
    <w:unhideWhenUsed/>
    <w:rsid w:val="00BB15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493</Words>
  <Characters>2926</Characters>
  <Application>Microsoft Office Word</Application>
  <DocSecurity>0</DocSecurity>
  <Lines>139</Lines>
  <Paragraphs>87</Paragraphs>
  <ScaleCrop>false</ScaleCrop>
  <Company>Author-it Software Corporation Ltd.</Company>
  <LinksUpToDate>false</LinksUpToDate>
  <CharactersWithSpaces>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TLIO5018 Manage compliance with customs excise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2024-07-12T07:51:00Z</dcterms:created>
  <dcterms:modified xsi:type="dcterms:W3CDTF">2024-07-12T07:51:00Z</dcterms:modified>
</cp:coreProperties>
</file>