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FCD" w:rsidP="00660FCD">
      <w:pPr>
        <w:pStyle w:val="Title"/>
      </w:pPr>
      <w:r>
        <w:fldChar w:fldCharType="begin"/>
      </w:r>
      <w:r>
        <w:instrText xml:space="preserve"> TITLE   \* MERGEFORMAT </w:instrText>
      </w:r>
      <w:r>
        <w:fldChar w:fldCharType="separate"/>
      </w:r>
      <w:r>
        <w:t>Assessment Requirements for TLIO5018 Manage compliance with customs excise</w:t>
      </w:r>
      <w:r>
        <w:fldChar w:fldCharType="end"/>
      </w:r>
    </w:p>
    <w:p w:rsidR="00660FCD" w:rsidP="00660FCD">
      <w:pPr>
        <w:pStyle w:val="Version"/>
        <w:sectPr w:rsidSect="00277D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D2A" w:rsidP="00277D2A">
      <w:pPr>
        <w:pStyle w:val="SuperHeading"/>
      </w:pPr>
      <w:r w:rsidRPr="00277D2A">
        <w:t>Assessment Requirements for TLIO5018 Manage complianc</w:t>
      </w:r>
      <w:r w:rsidRPr="00277D2A">
        <w:t>e with customs excise</w:t>
      </w:r>
    </w:p>
    <w:p w:rsidR="00000000" w:rsidRPr="00277D2A" w:rsidP="00277D2A">
      <w:pPr>
        <w:pStyle w:val="Heading1"/>
      </w:pPr>
      <w:bookmarkStart w:id="1" w:name="O_741345"/>
      <w:bookmarkEnd w:id="1"/>
      <w:r w:rsidRPr="00277D2A">
        <w:t>Modification History</w:t>
      </w:r>
    </w:p>
    <w:p w:rsidR="00660FCD" w:rsidP="00660FCD">
      <w:pPr>
        <w:pStyle w:val="BodyText"/>
      </w:pPr>
      <w:r w:rsidRPr="00277D2A">
        <w:t>Release 1. This is the first release of this unit of competency in the TLI Transport and Logistics Training Package.</w:t>
      </w:r>
    </w:p>
    <w:p w:rsidR="00000000" w:rsidRPr="00277D2A" w:rsidP="00277D2A">
      <w:pPr>
        <w:pStyle w:val="Heading1"/>
      </w:pPr>
      <w:bookmarkStart w:id="2" w:name="O_741346"/>
      <w:bookmarkEnd w:id="2"/>
      <w:r w:rsidRPr="00277D2A">
        <w:t>Performance Evidence</w:t>
      </w:r>
    </w:p>
    <w:tbl>
      <w:tblPr>
        <w:tblW w:w="0" w:type="auto"/>
        <w:tblCellMar>
          <w:left w:w="62" w:type="dxa"/>
          <w:right w:w="62" w:type="dxa"/>
        </w:tblCellMar>
        <w:tblLook w:val="0000"/>
      </w:tblPr>
      <w:tblGrid>
        <w:gridCol w:w="9196"/>
      </w:tblGrid>
      <w:tr w:rsidTr="00660FCD">
        <w:tblPrEx>
          <w:tblW w:w="0" w:type="auto"/>
          <w:tblCellMar>
            <w:left w:w="62" w:type="dxa"/>
            <w:right w:w="62" w:type="dxa"/>
          </w:tblCellMar>
          <w:tblLook w:val="0000"/>
        </w:tblPrEx>
        <w:trPr>
          <w:trHeight w:val="877"/>
        </w:trPr>
        <w:tc>
          <w:tcPr>
            <w:tcW w:w="0" w:type="auto"/>
            <w:tcBorders>
              <w:top w:val="nil"/>
              <w:left w:val="nil"/>
              <w:bottom w:val="nil"/>
              <w:right w:val="nil"/>
            </w:tcBorders>
            <w:tcMar>
              <w:top w:w="0" w:type="dxa"/>
              <w:left w:w="62" w:type="dxa"/>
              <w:bottom w:w="0" w:type="dxa"/>
              <w:right w:w="62" w:type="dxa"/>
            </w:tcMar>
          </w:tcPr>
          <w:p w:rsidR="00000000" w:rsidP="00277D2A">
            <w:pPr>
              <w:pStyle w:val="BodyText"/>
              <w:rPr>
                <w:lang w:val="en-NZ"/>
              </w:rPr>
            </w:pPr>
            <w:r w:rsidRPr="00277D2A">
              <w:t>Evidence required to demonstrate competence in this unit must be relevant to and satisfy all of the requirements of the elements and performance criteria on at least one occasion and include:</w:t>
            </w:r>
          </w:p>
        </w:tc>
      </w:tr>
      <w:tr w:rsidTr="00660FC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277D2A" w:rsidP="00277D2A">
            <w:pPr>
              <w:pStyle w:val="ListBullet2"/>
            </w:pPr>
            <w:r w:rsidRPr="00277D2A">
              <w:t>applying relevant legislation and workplace procedures</w:t>
            </w:r>
          </w:p>
          <w:p w:rsidR="00000000" w:rsidRPr="00277D2A" w:rsidP="00277D2A">
            <w:pPr>
              <w:pStyle w:val="ListBullet2"/>
            </w:pPr>
            <w:r w:rsidRPr="00277D2A">
              <w:t>complet</w:t>
            </w:r>
            <w:r w:rsidRPr="00277D2A">
              <w:t>ing documentation related to work activities</w:t>
            </w:r>
          </w:p>
          <w:p w:rsidR="00000000" w:rsidRPr="00277D2A" w:rsidP="00277D2A">
            <w:pPr>
              <w:pStyle w:val="ListBullet2"/>
            </w:pPr>
            <w:r w:rsidRPr="00277D2A">
              <w:t>dealing with routine issues that may arise when carrying out customs clearance operations</w:t>
            </w:r>
          </w:p>
          <w:p w:rsidR="00000000" w:rsidRPr="00277D2A" w:rsidP="00277D2A">
            <w:pPr>
              <w:pStyle w:val="ListBullet2"/>
            </w:pPr>
            <w:r w:rsidRPr="00277D2A">
              <w:t>identifying, interpreting and developing skills and knowledge required for relevant developments in freight services</w:t>
            </w:r>
          </w:p>
          <w:p w:rsidR="00000000" w:rsidRPr="00277D2A" w:rsidP="00277D2A">
            <w:pPr>
              <w:pStyle w:val="ListBullet2"/>
            </w:pPr>
            <w:r w:rsidRPr="00277D2A">
              <w:t>modi</w:t>
            </w:r>
            <w:r w:rsidRPr="00277D2A">
              <w:t>fying activities depending on workplace contexts, risk situations and environments, including taking appropriate initiatives within allowable limits</w:t>
            </w:r>
          </w:p>
          <w:p w:rsidR="00000000" w:rsidRPr="00277D2A" w:rsidP="00277D2A">
            <w:pPr>
              <w:pStyle w:val="ListBullet2"/>
            </w:pPr>
            <w:r w:rsidRPr="00277D2A">
              <w:t>monitoring work activities in terms of planned schedule</w:t>
            </w:r>
          </w:p>
          <w:p w:rsidR="00000000" w:rsidRPr="00277D2A" w:rsidP="00277D2A">
            <w:pPr>
              <w:pStyle w:val="ListBullet2"/>
            </w:pPr>
            <w:r w:rsidRPr="00277D2A">
              <w:t>negotiating, communicating and liaising effectively with customers and others</w:t>
            </w:r>
          </w:p>
          <w:p w:rsidR="00000000" w:rsidRPr="00277D2A" w:rsidP="00277D2A">
            <w:pPr>
              <w:pStyle w:val="ListBullet2"/>
            </w:pPr>
            <w:r w:rsidRPr="00277D2A">
              <w:t>planning and organising work activities when carrying out customs clearance operations</w:t>
            </w:r>
          </w:p>
          <w:p w:rsidR="00000000" w:rsidRPr="00277D2A" w:rsidP="00277D2A">
            <w:pPr>
              <w:pStyle w:val="ListBullet2"/>
            </w:pPr>
            <w:r w:rsidRPr="00277D2A">
              <w:t>presenting information using appropriate media and technology</w:t>
            </w:r>
          </w:p>
          <w:p w:rsidR="00000000" w:rsidRPr="00277D2A" w:rsidP="00277D2A">
            <w:pPr>
              <w:pStyle w:val="ListBullet2"/>
            </w:pPr>
            <w:r w:rsidRPr="00277D2A">
              <w:t>reading and interpreting inst</w:t>
            </w:r>
            <w:r w:rsidRPr="00277D2A">
              <w:t>ructions, procedures and information relevant to customs clearance practices</w:t>
            </w:r>
          </w:p>
          <w:p w:rsidR="00000000" w:rsidRPr="00277D2A" w:rsidP="00277D2A">
            <w:pPr>
              <w:pStyle w:val="ListBullet2"/>
            </w:pPr>
            <w:r w:rsidRPr="00277D2A">
              <w:t>selecting and using relevant computer/communication/office equipment when carrying out customs clearance operations</w:t>
            </w:r>
          </w:p>
          <w:p w:rsidR="00000000" w:rsidRPr="00277D2A" w:rsidP="00277D2A">
            <w:pPr>
              <w:pStyle w:val="ListBullet2"/>
            </w:pPr>
            <w:r w:rsidRPr="00277D2A">
              <w:t>working collaboratively as part of a customs broking team.</w:t>
            </w:r>
          </w:p>
        </w:tc>
      </w:tr>
    </w:tbl>
    <w:p w:rsidR="00000000" w:rsidRPr="00277D2A" w:rsidP="00277D2A">
      <w:pPr>
        <w:pStyle w:val="BodyText"/>
      </w:pPr>
    </w:p>
    <w:p w:rsidR="00000000" w:rsidRPr="00277D2A" w:rsidP="00277D2A">
      <w:pPr>
        <w:pStyle w:val="AllowPageBreak"/>
      </w:pPr>
    </w:p>
    <w:p w:rsidR="00000000" w:rsidRPr="00277D2A" w:rsidP="00277D2A">
      <w:pPr>
        <w:pStyle w:val="Heading1"/>
      </w:pPr>
      <w:bookmarkStart w:id="3" w:name="O_741347"/>
      <w:bookmarkEnd w:id="3"/>
      <w:r w:rsidRPr="00277D2A">
        <w:t>Knowledge Evidence</w:t>
      </w:r>
    </w:p>
    <w:tbl>
      <w:tblPr>
        <w:tblW w:w="0" w:type="auto"/>
        <w:tblCellMar>
          <w:left w:w="62" w:type="dxa"/>
          <w:right w:w="62" w:type="dxa"/>
        </w:tblCellMar>
        <w:tblLook w:val="0000"/>
      </w:tblPr>
      <w:tblGrid>
        <w:gridCol w:w="9196"/>
      </w:tblGrid>
      <w:tr w:rsidTr="00660FCD">
        <w:tblPrEx>
          <w:tblW w:w="0" w:type="auto"/>
          <w:tblCellMar>
            <w:left w:w="62" w:type="dxa"/>
            <w:right w:w="62" w:type="dxa"/>
          </w:tblCellMar>
          <w:tblLook w:val="0000"/>
        </w:tblPrEx>
        <w:trPr>
          <w:trHeight w:val="868"/>
        </w:trPr>
        <w:tc>
          <w:tcPr>
            <w:tcW w:w="0" w:type="auto"/>
            <w:tcBorders>
              <w:top w:val="nil"/>
              <w:left w:val="nil"/>
              <w:bottom w:val="nil"/>
              <w:right w:val="nil"/>
            </w:tcBorders>
            <w:tcMar>
              <w:top w:w="0" w:type="dxa"/>
              <w:left w:w="62" w:type="dxa"/>
              <w:bottom w:w="0" w:type="dxa"/>
              <w:right w:w="62" w:type="dxa"/>
            </w:tcMar>
          </w:tcPr>
          <w:p w:rsidR="00000000" w:rsidP="00277D2A">
            <w:pPr>
              <w:pStyle w:val="BodyText"/>
              <w:rPr>
                <w:lang w:val="en-NZ"/>
              </w:rPr>
            </w:pPr>
            <w:r w:rsidRPr="00277D2A">
              <w:t>Evidence required to demonstrate competence in this unit must be relevant to and satisfy all of the requirements of the elements and performance criteria and include knowledge of:</w:t>
            </w:r>
          </w:p>
        </w:tc>
      </w:tr>
      <w:tr w:rsidTr="00660FCD">
        <w:tblPrEx>
          <w:tblW w:w="0" w:type="auto"/>
          <w:tblCellMar>
            <w:left w:w="62" w:type="dxa"/>
            <w:right w:w="62" w:type="dxa"/>
          </w:tblCellMar>
          <w:tblLook w:val="0000"/>
        </w:tblPrEx>
        <w:trPr>
          <w:trHeight w:val="1843"/>
        </w:trPr>
        <w:tc>
          <w:tcPr>
            <w:tcW w:w="0" w:type="auto"/>
            <w:tcBorders>
              <w:top w:val="nil"/>
              <w:left w:val="nil"/>
              <w:bottom w:val="nil"/>
              <w:right w:val="nil"/>
            </w:tcBorders>
            <w:tcMar>
              <w:top w:w="0" w:type="dxa"/>
              <w:left w:w="62" w:type="dxa"/>
              <w:bottom w:w="0" w:type="dxa"/>
              <w:right w:w="62" w:type="dxa"/>
            </w:tcMar>
          </w:tcPr>
          <w:p w:rsidR="00000000" w:rsidRPr="00277D2A" w:rsidP="00277D2A">
            <w:pPr>
              <w:pStyle w:val="ListBullet2"/>
            </w:pPr>
            <w:r w:rsidRPr="00277D2A">
              <w:t>code of practice for working collaboratively with others</w:t>
            </w:r>
          </w:p>
          <w:p w:rsidR="00000000" w:rsidRPr="00277D2A" w:rsidP="00277D2A">
            <w:pPr>
              <w:pStyle w:val="ListBullet2"/>
            </w:pPr>
            <w:r w:rsidRPr="00277D2A">
              <w:t>Customs Tariff Act and regulations as they relate to refunds, remissions and drawbacks</w:t>
            </w:r>
          </w:p>
          <w:p w:rsidR="00000000" w:rsidRPr="00277D2A" w:rsidP="00277D2A">
            <w:pPr>
              <w:pStyle w:val="ListBullet2"/>
            </w:pPr>
            <w:r w:rsidRPr="00277D2A">
              <w:t>differences between the Tariff Concession System (TCS) and the By-law system and other industry assistance initi</w:t>
            </w:r>
            <w:r w:rsidRPr="00277D2A">
              <w:t>atives</w:t>
            </w:r>
          </w:p>
          <w:p w:rsidR="00000000" w:rsidRPr="00277D2A" w:rsidP="00277D2A">
            <w:pPr>
              <w:pStyle w:val="ListBullet2"/>
            </w:pPr>
            <w:r w:rsidRPr="00277D2A">
              <w:t>procedures for operating electronic communications equipment</w:t>
            </w:r>
          </w:p>
          <w:p w:rsidR="00000000" w:rsidRPr="00277D2A" w:rsidP="00277D2A">
            <w:pPr>
              <w:pStyle w:val="ListBullet2"/>
            </w:pPr>
            <w:r w:rsidRPr="00277D2A">
              <w:t>procedures for payments under protest</w:t>
            </w:r>
          </w:p>
          <w:p w:rsidR="00000000" w:rsidRPr="00277D2A" w:rsidP="00277D2A">
            <w:pPr>
              <w:pStyle w:val="ListBullet2"/>
            </w:pPr>
            <w:r w:rsidRPr="00277D2A">
              <w:t>recovery of short paid duties</w:t>
            </w:r>
          </w:p>
          <w:p w:rsidR="00000000" w:rsidRPr="00277D2A" w:rsidP="00277D2A">
            <w:pPr>
              <w:pStyle w:val="ListBullet2"/>
            </w:pPr>
            <w:r w:rsidRPr="00277D2A">
              <w:t>requirements for completing relevant documentation</w:t>
            </w:r>
          </w:p>
          <w:p w:rsidR="00000000" w:rsidRPr="00277D2A" w:rsidP="00277D2A">
            <w:pPr>
              <w:pStyle w:val="ListBullet2"/>
            </w:pPr>
            <w:r w:rsidRPr="00277D2A">
              <w:t>requirements for preferential treatment of goods under free trade agr</w:t>
            </w:r>
            <w:r w:rsidRPr="00277D2A">
              <w:t>eements or preferential trade agreements</w:t>
            </w:r>
          </w:p>
          <w:p w:rsidR="00000000" w:rsidRPr="00277D2A" w:rsidP="00277D2A">
            <w:pPr>
              <w:pStyle w:val="ListBullet2"/>
            </w:pPr>
            <w:r w:rsidRPr="00277D2A">
              <w:t>seizure, forfeiture and condemnation, as it relates to customs clearance practices</w:t>
            </w:r>
          </w:p>
          <w:p w:rsidR="00000000" w:rsidRPr="00277D2A" w:rsidP="00277D2A">
            <w:pPr>
              <w:pStyle w:val="ListBullet2"/>
            </w:pPr>
            <w:r w:rsidRPr="00277D2A">
              <w:t>sources of information on developments in customs clearance practices</w:t>
            </w:r>
          </w:p>
          <w:p w:rsidR="00000000" w:rsidRPr="00277D2A" w:rsidP="00277D2A">
            <w:pPr>
              <w:pStyle w:val="ListBullet2"/>
            </w:pPr>
            <w:r w:rsidRPr="00277D2A">
              <w:t>structure and application of anti-dumping laws in Australia</w:t>
            </w:r>
          </w:p>
          <w:p w:rsidR="00000000" w:rsidRPr="00277D2A" w:rsidP="00277D2A">
            <w:pPr>
              <w:pStyle w:val="ListBullet2"/>
            </w:pPr>
            <w:r w:rsidRPr="00277D2A">
              <w:t>us</w:t>
            </w:r>
            <w:r w:rsidRPr="00277D2A">
              <w:t>e of the Infringement Notice Scheme</w:t>
            </w:r>
          </w:p>
          <w:p w:rsidR="00000000" w:rsidRPr="00277D2A" w:rsidP="00277D2A">
            <w:pPr>
              <w:pStyle w:val="ListBullet2"/>
            </w:pPr>
            <w:r w:rsidRPr="00277D2A">
              <w:t>various forms and functions of securities and temporary importations</w:t>
            </w:r>
          </w:p>
          <w:p w:rsidR="00000000" w:rsidRPr="00277D2A" w:rsidP="00277D2A">
            <w:pPr>
              <w:pStyle w:val="ListBullet2"/>
            </w:pPr>
            <w:r w:rsidRPr="00277D2A">
              <w:t>ways of developing required skills and knowledge for developments in customs clearance practices.</w:t>
            </w:r>
          </w:p>
        </w:tc>
      </w:tr>
    </w:tbl>
    <w:p w:rsidR="00000000" w:rsidRPr="00277D2A" w:rsidP="00277D2A">
      <w:pPr>
        <w:pStyle w:val="BodyText"/>
      </w:pPr>
    </w:p>
    <w:p w:rsidR="00000000" w:rsidRPr="00277D2A" w:rsidP="00277D2A">
      <w:pPr>
        <w:pStyle w:val="AllowPageBreak"/>
      </w:pPr>
    </w:p>
    <w:p w:rsidR="00000000" w:rsidRPr="00277D2A" w:rsidP="00277D2A">
      <w:pPr>
        <w:pStyle w:val="Heading1"/>
      </w:pPr>
      <w:bookmarkStart w:id="4" w:name="O_741348"/>
      <w:bookmarkEnd w:id="4"/>
      <w:r w:rsidRPr="00277D2A">
        <w:t>Assessment Conditions</w:t>
      </w:r>
    </w:p>
    <w:p w:rsidR="00000000" w:rsidRPr="00277D2A" w:rsidP="00660FCD">
      <w:pPr>
        <w:pStyle w:val="BodyText"/>
      </w:pPr>
      <w:r w:rsidRPr="00277D2A">
        <w:t xml:space="preserve">As a minimum, assessors must satisfy applicable regulatory requirements, which include requirements in the Standards for Registered Training Organisations, current at the time of assessment. </w:t>
      </w:r>
    </w:p>
    <w:p w:rsidR="00000000" w:rsidRPr="00277D2A" w:rsidP="00660FCD">
      <w:pPr>
        <w:pStyle w:val="BodyText"/>
      </w:pPr>
      <w:r w:rsidRPr="00277D2A">
        <w:t>As a minimum, assessment must satisfy applicable regulatory requ</w:t>
      </w:r>
      <w:r w:rsidRPr="00277D2A">
        <w:t>irements, which include requirements in the Standards for Registered Training Organisations, current at the time of assessment.</w:t>
      </w:r>
    </w:p>
    <w:p w:rsidR="00000000" w:rsidRPr="00277D2A" w:rsidP="00660FCD">
      <w:pPr>
        <w:pStyle w:val="BodyText"/>
      </w:pPr>
      <w:r w:rsidRPr="00277D2A">
        <w:t>Assessment must occur in workplace operational situations where it is appropriate to do so; where this is not appropriate, asses</w:t>
      </w:r>
      <w:r w:rsidRPr="00277D2A">
        <w:t xml:space="preserve">sment must occur in simulated workplace operational situations that replicate workplace conditions. </w:t>
      </w:r>
    </w:p>
    <w:p w:rsidR="00000000" w:rsidRPr="00277D2A" w:rsidP="00660FCD">
      <w:pPr>
        <w:pStyle w:val="BodyText"/>
      </w:pPr>
      <w:r w:rsidRPr="00277D2A">
        <w:t>Assessment processes and techniques must be appropriate to the language, literacy and numeracy requirements of the work being performed and the needs of th</w:t>
      </w:r>
      <w:r w:rsidRPr="00277D2A">
        <w:t>e candidate.</w:t>
      </w:r>
    </w:p>
    <w:p w:rsidR="00000000" w:rsidRPr="00277D2A" w:rsidP="00660FCD">
      <w:pPr>
        <w:pStyle w:val="BodyText"/>
      </w:pPr>
      <w:r w:rsidRPr="00277D2A">
        <w:t>Resources for assessment include:</w:t>
      </w:r>
    </w:p>
    <w:p w:rsidR="00000000" w:rsidRPr="00277D2A" w:rsidP="00277D2A">
      <w:pPr>
        <w:pStyle w:val="ListBullet2"/>
      </w:pPr>
      <w:r w:rsidRPr="00277D2A">
        <w:t>a range of relevant exercises, case studies and/or other simulations</w:t>
      </w:r>
    </w:p>
    <w:p w:rsidR="00000000" w:rsidRPr="00277D2A" w:rsidP="00277D2A">
      <w:pPr>
        <w:pStyle w:val="ListBullet2"/>
      </w:pPr>
      <w:r w:rsidRPr="00277D2A">
        <w:t xml:space="preserve">relevant and appropriate materials, tools, equipment and personal protective equipment currently used in industry </w:t>
      </w:r>
    </w:p>
    <w:p w:rsidR="00660FCD" w:rsidP="00277D2A">
      <w:pPr>
        <w:pStyle w:val="ListBullet2"/>
      </w:pPr>
      <w:r w:rsidRPr="00277D2A">
        <w:t>applicable documentation</w:t>
      </w:r>
      <w:r w:rsidRPr="00277D2A">
        <w:t xml:space="preserve"> including workplace procedures, regulations, codes of practice and operation manuals.</w:t>
      </w:r>
    </w:p>
    <w:p w:rsidR="00660FCD" w:rsidP="00277D2A">
      <w:pPr>
        <w:pStyle w:val="ListBullet2"/>
      </w:pPr>
    </w:p>
    <w:p w:rsidR="00000000" w:rsidRPr="00277D2A" w:rsidP="00277D2A">
      <w:pPr>
        <w:pStyle w:val="Heading1"/>
      </w:pPr>
      <w:bookmarkStart w:id="5" w:name="O_741351"/>
      <w:bookmarkEnd w:id="5"/>
      <w:r w:rsidRPr="00277D2A">
        <w:t>Links</w:t>
      </w:r>
    </w:p>
    <w:p w:rsidR="00000000" w:rsidRPr="00277D2A" w:rsidP="00660FCD">
      <w:pPr>
        <w:pStyle w:val="BodyText"/>
      </w:pPr>
      <w:r w:rsidRPr="00277D2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41226">
        <w:rPr>
          <w:rStyle w:val="Hyperlink"/>
        </w:rPr>
        <w:t>https://vetnet.gov.au/Pages/TrainingDocs.aspx?q=df441c6e-213d-43e3-874c-0b3f7036d851</w:t>
      </w:r>
      <w:r>
        <w:fldChar w:fldCharType="end"/>
      </w:r>
    </w:p>
    <w:p w:rsidR="00000000" w:rsidRPr="00277D2A" w:rsidP="00277D2A"/>
    <w:sectPr w:rsidSect="00277D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2A" w:rsidRPr="00660FCD" w:rsidP="00660F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FCD" w:rsidP="00277D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60FCD" w:rsidP="00277D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60FCD" w:rsidP="00277D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F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7D2A" w:rsidRPr="00660FCD" w:rsidP="00660F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FCD" w:rsidRPr="002D2AF8" w:rsidP="00277D2A">
    <w:pPr>
      <w:pStyle w:val="Header"/>
      <w:framePr w:wrap="around"/>
    </w:pPr>
    <w:r>
      <w:fldChar w:fldCharType="begin"/>
    </w:r>
    <w:r>
      <w:instrText xml:space="preserve"> TITLE   \* MERGEFORMAT </w:instrText>
    </w:r>
    <w:r>
      <w:fldChar w:fldCharType="separate"/>
    </w:r>
    <w:r>
      <w:t>Assessment Requirements for TLIO5018 Manage compliance with customs excise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60FCD" w:rsidP="00277D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C0B7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2068E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D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D2A"/>
    <w:pPr>
      <w:spacing w:before="360" w:after="60"/>
      <w:outlineLvl w:val="0"/>
    </w:pPr>
    <w:rPr>
      <w:sz w:val="32"/>
    </w:rPr>
  </w:style>
  <w:style w:type="paragraph" w:styleId="Heading2">
    <w:name w:val="heading 2"/>
    <w:basedOn w:val="HeadingBase"/>
    <w:next w:val="BodyText"/>
    <w:link w:val="Heading2Char"/>
    <w:qFormat/>
    <w:rsid w:val="00277D2A"/>
    <w:pPr>
      <w:keepLines/>
      <w:spacing w:before="240" w:after="120"/>
      <w:outlineLvl w:val="1"/>
    </w:pPr>
    <w:rPr>
      <w:sz w:val="28"/>
      <w:szCs w:val="40"/>
    </w:rPr>
  </w:style>
  <w:style w:type="paragraph" w:styleId="Heading3">
    <w:name w:val="heading 3"/>
    <w:basedOn w:val="HeadingBase"/>
    <w:next w:val="BodyText"/>
    <w:link w:val="Heading3Char"/>
    <w:qFormat/>
    <w:rsid w:val="00277D2A"/>
    <w:pPr>
      <w:spacing w:before="180" w:after="120"/>
      <w:outlineLvl w:val="2"/>
    </w:pPr>
    <w:rPr>
      <w:spacing w:val="-10"/>
      <w:kern w:val="32"/>
    </w:rPr>
  </w:style>
  <w:style w:type="paragraph" w:styleId="Heading4">
    <w:name w:val="heading 4"/>
    <w:basedOn w:val="HeadingBase"/>
    <w:next w:val="BodyText"/>
    <w:link w:val="Heading4Char"/>
    <w:qFormat/>
    <w:rsid w:val="00277D2A"/>
    <w:pPr>
      <w:spacing w:before="160" w:after="120"/>
      <w:outlineLvl w:val="3"/>
    </w:pPr>
    <w:rPr>
      <w:sz w:val="22"/>
    </w:rPr>
  </w:style>
  <w:style w:type="paragraph" w:styleId="Heading5">
    <w:name w:val="heading 5"/>
    <w:basedOn w:val="HeadingBase"/>
    <w:next w:val="Normal"/>
    <w:link w:val="Heading5Char"/>
    <w:qFormat/>
    <w:rsid w:val="00277D2A"/>
    <w:pPr>
      <w:spacing w:before="80"/>
      <w:outlineLvl w:val="4"/>
    </w:pPr>
    <w:rPr>
      <w:color w:val="918585"/>
      <w:sz w:val="20"/>
    </w:rPr>
  </w:style>
  <w:style w:type="paragraph" w:styleId="Heading6">
    <w:name w:val="heading 6"/>
    <w:basedOn w:val="HeadingBase"/>
    <w:next w:val="Normal"/>
    <w:link w:val="Heading6Char"/>
    <w:qFormat/>
    <w:rsid w:val="00277D2A"/>
    <w:pPr>
      <w:spacing w:before="60"/>
      <w:outlineLvl w:val="5"/>
    </w:pPr>
    <w:rPr>
      <w:color w:val="918585"/>
      <w:sz w:val="20"/>
    </w:rPr>
  </w:style>
  <w:style w:type="paragraph" w:styleId="Heading7">
    <w:name w:val="heading 7"/>
    <w:basedOn w:val="Normal"/>
    <w:next w:val="Normal"/>
    <w:link w:val="Heading7Char"/>
    <w:qFormat/>
    <w:rsid w:val="00277D2A"/>
    <w:pPr>
      <w:ind w:left="720"/>
      <w:outlineLvl w:val="6"/>
    </w:pPr>
    <w:rPr>
      <w:i/>
    </w:rPr>
  </w:style>
  <w:style w:type="paragraph" w:styleId="Heading8">
    <w:name w:val="heading 8"/>
    <w:basedOn w:val="Normal"/>
    <w:next w:val="Normal"/>
    <w:link w:val="Heading8Char"/>
    <w:qFormat/>
    <w:rsid w:val="00277D2A"/>
    <w:pPr>
      <w:ind w:left="720"/>
      <w:outlineLvl w:val="7"/>
    </w:pPr>
    <w:rPr>
      <w:i/>
    </w:rPr>
  </w:style>
  <w:style w:type="paragraph" w:styleId="Heading9">
    <w:name w:val="heading 9"/>
    <w:basedOn w:val="Normal"/>
    <w:next w:val="Normal"/>
    <w:link w:val="Heading9Char"/>
    <w:qFormat/>
    <w:rsid w:val="00277D2A"/>
    <w:pPr>
      <w:ind w:left="720"/>
      <w:outlineLvl w:val="8"/>
    </w:pPr>
    <w:rPr>
      <w:i/>
    </w:rPr>
  </w:style>
  <w:style w:type="character" w:default="1" w:styleId="DefaultParagraphFont">
    <w:name w:val="Default Paragraph Font"/>
    <w:uiPriority w:val="1"/>
    <w:unhideWhenUsed/>
    <w:rsid w:val="00277D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D2A"/>
  </w:style>
  <w:style w:type="character" w:customStyle="1" w:styleId="Heading1Char">
    <w:name w:val="Heading 1 Char"/>
    <w:basedOn w:val="DefaultParagraphFont"/>
    <w:link w:val="Heading1"/>
    <w:rsid w:val="00277D2A"/>
    <w:rPr>
      <w:rFonts w:ascii="Times New Roman" w:eastAsia="Times New Roman" w:hAnsi="Times New Roman" w:cs="Times New Roman"/>
      <w:b/>
      <w:sz w:val="32"/>
      <w:szCs w:val="20"/>
      <w:lang w:eastAsia="en-US"/>
    </w:rPr>
  </w:style>
  <w:style w:type="paragraph" w:styleId="BodyText">
    <w:name w:val="Body Text"/>
    <w:basedOn w:val="Normal"/>
    <w:link w:val="BodyTextChar"/>
    <w:rsid w:val="00277D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7D2A"/>
    <w:rPr>
      <w:rFonts w:ascii="Times New Roman" w:eastAsia="Times New Roman" w:hAnsi="Times New Roman" w:cs="Times New Roman"/>
      <w:sz w:val="24"/>
      <w:lang w:eastAsia="en-US"/>
    </w:rPr>
  </w:style>
  <w:style w:type="paragraph" w:styleId="ListBullet2">
    <w:name w:val="List Bullet 2"/>
    <w:basedOn w:val="List2"/>
    <w:rsid w:val="00277D2A"/>
    <w:pPr>
      <w:numPr>
        <w:numId w:val="12"/>
      </w:numPr>
      <w:tabs>
        <w:tab w:val="clear" w:pos="680"/>
      </w:tabs>
    </w:pPr>
  </w:style>
  <w:style w:type="paragraph" w:customStyle="1" w:styleId="SuperHeading">
    <w:name w:val="SuperHeading"/>
    <w:basedOn w:val="Normal"/>
    <w:rsid w:val="00277D2A"/>
    <w:pPr>
      <w:spacing w:before="240" w:after="120"/>
      <w:outlineLvl w:val="0"/>
    </w:pPr>
    <w:rPr>
      <w:rFonts w:ascii="Times New Roman" w:hAnsi="Times New Roman"/>
      <w:b/>
      <w:sz w:val="32"/>
    </w:rPr>
  </w:style>
  <w:style w:type="paragraph" w:customStyle="1" w:styleId="AllowPageBreak">
    <w:name w:val="AllowPageBreak"/>
    <w:rsid w:val="00277D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7D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D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D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D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D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D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D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D2A"/>
    <w:rPr>
      <w:rFonts w:ascii="Courier New" w:eastAsia="Times New Roman" w:hAnsi="Courier New" w:cs="Times New Roman"/>
      <w:i/>
      <w:szCs w:val="20"/>
      <w:lang w:eastAsia="en-US"/>
    </w:rPr>
  </w:style>
  <w:style w:type="paragraph" w:customStyle="1" w:styleId="HeadingBase">
    <w:name w:val="Heading Base"/>
    <w:rsid w:val="00277D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D2A"/>
    <w:pPr>
      <w:tabs>
        <w:tab w:val="right" w:leader="dot" w:pos="9072"/>
      </w:tabs>
      <w:ind w:left="567"/>
    </w:pPr>
    <w:rPr>
      <w:szCs w:val="22"/>
    </w:rPr>
  </w:style>
  <w:style w:type="paragraph" w:customStyle="1" w:styleId="TOCBase">
    <w:name w:val="TOC Base"/>
    <w:rsid w:val="00277D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D2A"/>
    <w:pPr>
      <w:tabs>
        <w:tab w:val="right" w:leader="dot" w:pos="9072"/>
      </w:tabs>
      <w:spacing w:before="40" w:after="40"/>
      <w:ind w:left="284"/>
    </w:pPr>
    <w:rPr>
      <w:rFonts w:ascii="Times New Roman" w:hAnsi="Times New Roman"/>
    </w:rPr>
  </w:style>
  <w:style w:type="paragraph" w:styleId="TOC1">
    <w:name w:val="toc 1"/>
    <w:basedOn w:val="TOCBase"/>
    <w:next w:val="Normal"/>
    <w:rsid w:val="00277D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7D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D2A"/>
    <w:rPr>
      <w:rFonts w:ascii="Times New Roman" w:eastAsia="Times New Roman" w:hAnsi="Times New Roman" w:cs="Times New Roman"/>
      <w:sz w:val="16"/>
      <w:lang w:eastAsia="en-US"/>
    </w:rPr>
  </w:style>
  <w:style w:type="paragraph" w:styleId="Title">
    <w:name w:val="Title"/>
    <w:basedOn w:val="HeadingBase"/>
    <w:link w:val="TitleChar"/>
    <w:qFormat/>
    <w:rsid w:val="00277D2A"/>
    <w:pPr>
      <w:spacing w:before="5040"/>
      <w:jc w:val="center"/>
    </w:pPr>
    <w:rPr>
      <w:sz w:val="48"/>
      <w:szCs w:val="72"/>
      <w:lang w:val="en-US"/>
    </w:rPr>
  </w:style>
  <w:style w:type="character" w:customStyle="1" w:styleId="TitleChar">
    <w:name w:val="Title Char"/>
    <w:basedOn w:val="DefaultParagraphFont"/>
    <w:link w:val="Title"/>
    <w:rsid w:val="00277D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D2A"/>
    <w:pPr>
      <w:tabs>
        <w:tab w:val="left" w:pos="3600"/>
        <w:tab w:val="left" w:pos="3958"/>
      </w:tabs>
    </w:pPr>
  </w:style>
  <w:style w:type="paragraph" w:styleId="List">
    <w:name w:val="List"/>
    <w:basedOn w:val="BodyText"/>
    <w:next w:val="BodyText"/>
    <w:rsid w:val="00277D2A"/>
    <w:pPr>
      <w:tabs>
        <w:tab w:val="left" w:pos="340"/>
      </w:tabs>
      <w:spacing w:before="60" w:after="60"/>
      <w:ind w:left="340" w:hanging="340"/>
    </w:pPr>
  </w:style>
  <w:style w:type="paragraph" w:styleId="ListBullet">
    <w:name w:val="List Bullet"/>
    <w:basedOn w:val="List"/>
    <w:rsid w:val="00277D2A"/>
    <w:pPr>
      <w:numPr>
        <w:numId w:val="11"/>
      </w:numPr>
      <w:tabs>
        <w:tab w:val="clear" w:pos="340"/>
      </w:tabs>
      <w:spacing w:before="40" w:after="40"/>
    </w:pPr>
  </w:style>
  <w:style w:type="paragraph" w:customStyle="1" w:styleId="Note">
    <w:name w:val="Note"/>
    <w:basedOn w:val="BodyText"/>
    <w:rsid w:val="00277D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7D2A"/>
    <w:rPr>
      <w:b/>
      <w:spacing w:val="0"/>
    </w:rPr>
  </w:style>
  <w:style w:type="paragraph" w:customStyle="1" w:styleId="SuperTitle">
    <w:name w:val="SuperTitle"/>
    <w:basedOn w:val="Title"/>
    <w:rsid w:val="00277D2A"/>
    <w:pPr>
      <w:framePr w:wrap="auto" w:hAnchor="text" w:y="6049"/>
    </w:pPr>
    <w:rPr>
      <w:color w:val="000000"/>
      <w:sz w:val="40"/>
    </w:rPr>
  </w:style>
  <w:style w:type="paragraph" w:customStyle="1" w:styleId="TOCTitle">
    <w:name w:val="TOCTitle"/>
    <w:basedOn w:val="Heading1"/>
    <w:rsid w:val="00277D2A"/>
    <w:pPr>
      <w:spacing w:after="240"/>
      <w:jc w:val="center"/>
      <w:outlineLvl w:val="9"/>
    </w:pPr>
    <w:rPr>
      <w:caps/>
    </w:rPr>
  </w:style>
  <w:style w:type="paragraph" w:customStyle="1" w:styleId="Version">
    <w:name w:val="Version"/>
    <w:rsid w:val="00277D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7D2A"/>
    <w:pPr>
      <w:keepNext w:val="0"/>
      <w:tabs>
        <w:tab w:val="right" w:pos="4176"/>
      </w:tabs>
      <w:ind w:left="198" w:hanging="198"/>
    </w:pPr>
    <w:rPr>
      <w:rFonts w:ascii="Garamond" w:hAnsi="Garamond"/>
    </w:rPr>
  </w:style>
  <w:style w:type="paragraph" w:styleId="IndexHeading">
    <w:name w:val="index heading"/>
    <w:basedOn w:val="Normal"/>
    <w:next w:val="Index1"/>
    <w:semiHidden/>
    <w:rsid w:val="00277D2A"/>
    <w:pPr>
      <w:spacing w:before="120" w:after="120"/>
    </w:pPr>
    <w:rPr>
      <w:rFonts w:ascii="Arial" w:hAnsi="Arial"/>
      <w:b/>
      <w:color w:val="918585"/>
      <w:sz w:val="24"/>
    </w:rPr>
  </w:style>
  <w:style w:type="paragraph" w:styleId="Header">
    <w:name w:val="header"/>
    <w:basedOn w:val="Normal"/>
    <w:link w:val="HeaderChar"/>
    <w:rsid w:val="00277D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D2A"/>
    <w:rPr>
      <w:rFonts w:ascii="Times New Roman" w:eastAsia="Times New Roman" w:hAnsi="Times New Roman" w:cs="Times New Roman"/>
      <w:sz w:val="16"/>
      <w:szCs w:val="20"/>
      <w:lang w:val="en-GB" w:eastAsia="en-US"/>
    </w:rPr>
  </w:style>
  <w:style w:type="paragraph" w:customStyle="1" w:styleId="Chapter">
    <w:name w:val="Chapter"/>
    <w:basedOn w:val="Normal"/>
    <w:rsid w:val="00277D2A"/>
    <w:pPr>
      <w:spacing w:before="240"/>
    </w:pPr>
    <w:rPr>
      <w:rFonts w:ascii="Times New Roman" w:hAnsi="Times New Roman"/>
      <w:smallCaps/>
      <w:spacing w:val="80"/>
      <w:sz w:val="28"/>
    </w:rPr>
  </w:style>
  <w:style w:type="paragraph" w:customStyle="1" w:styleId="InChapter">
    <w:name w:val="InChapter"/>
    <w:basedOn w:val="Heading3"/>
    <w:rsid w:val="00277D2A"/>
    <w:pPr>
      <w:spacing w:after="240"/>
      <w:outlineLvl w:val="9"/>
    </w:pPr>
    <w:rPr>
      <w:noProof/>
    </w:rPr>
  </w:style>
  <w:style w:type="paragraph" w:styleId="Index2">
    <w:name w:val="index 2"/>
    <w:basedOn w:val="Normal"/>
    <w:next w:val="Normal"/>
    <w:semiHidden/>
    <w:rsid w:val="00277D2A"/>
    <w:pPr>
      <w:tabs>
        <w:tab w:val="right" w:pos="4176"/>
      </w:tabs>
      <w:ind w:left="568" w:hanging="284"/>
    </w:pPr>
    <w:rPr>
      <w:rFonts w:ascii="Garamond" w:hAnsi="Garamond"/>
    </w:rPr>
  </w:style>
  <w:style w:type="paragraph" w:customStyle="1" w:styleId="Byline">
    <w:name w:val="Byline"/>
    <w:rsid w:val="00277D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D2A"/>
    <w:pPr>
      <w:tabs>
        <w:tab w:val="clear" w:pos="3600"/>
        <w:tab w:val="clear" w:pos="3958"/>
      </w:tabs>
      <w:jc w:val="right"/>
    </w:pPr>
  </w:style>
  <w:style w:type="character" w:styleId="Emphasis">
    <w:name w:val="Emphasis"/>
    <w:basedOn w:val="DefaultParagraphFont"/>
    <w:qFormat/>
    <w:rsid w:val="00277D2A"/>
    <w:rPr>
      <w:i/>
    </w:rPr>
  </w:style>
  <w:style w:type="paragraph" w:styleId="Caption">
    <w:name w:val="caption"/>
    <w:basedOn w:val="BodyText"/>
    <w:next w:val="Normal"/>
    <w:qFormat/>
    <w:rsid w:val="00277D2A"/>
    <w:pPr>
      <w:framePr w:w="2268" w:hSpace="181" w:vSpace="181" w:wrap="around" w:vAnchor="text" w:hAnchor="page" w:x="1135" w:y="285" w:anchorLock="1"/>
    </w:pPr>
    <w:rPr>
      <w:i/>
    </w:rPr>
  </w:style>
  <w:style w:type="paragraph" w:customStyle="1" w:styleId="MiniTOCTitle">
    <w:name w:val="MiniTOCTitle"/>
    <w:basedOn w:val="Heading4"/>
    <w:rsid w:val="00277D2A"/>
    <w:pPr>
      <w:spacing w:before="240"/>
      <w:outlineLvl w:val="9"/>
    </w:pPr>
    <w:rPr>
      <w:noProof/>
      <w:sz w:val="24"/>
    </w:rPr>
  </w:style>
  <w:style w:type="paragraph" w:customStyle="1" w:styleId="MiniTOCItem">
    <w:name w:val="MiniTOCItem"/>
    <w:basedOn w:val="ListBullet"/>
    <w:rsid w:val="00277D2A"/>
    <w:pPr>
      <w:numPr>
        <w:numId w:val="0"/>
      </w:numPr>
      <w:tabs>
        <w:tab w:val="right" w:leader="dot" w:pos="6521"/>
      </w:tabs>
      <w:spacing w:before="0" w:after="0"/>
    </w:pPr>
  </w:style>
  <w:style w:type="paragraph" w:customStyle="1" w:styleId="TOFTitle">
    <w:name w:val="TOFTitle"/>
    <w:basedOn w:val="TOCTitle"/>
    <w:rsid w:val="00277D2A"/>
  </w:style>
  <w:style w:type="paragraph" w:styleId="TableofFigures">
    <w:name w:val="table of figures"/>
    <w:basedOn w:val="Normal"/>
    <w:next w:val="Normal"/>
    <w:semiHidden/>
    <w:rsid w:val="00277D2A"/>
    <w:pPr>
      <w:tabs>
        <w:tab w:val="right" w:leader="dot" w:pos="9072"/>
      </w:tabs>
      <w:ind w:left="970" w:hanging="403"/>
    </w:pPr>
    <w:rPr>
      <w:rFonts w:ascii="Times New Roman" w:hAnsi="Times New Roman"/>
      <w:b/>
    </w:rPr>
  </w:style>
  <w:style w:type="paragraph" w:styleId="ListNumber">
    <w:name w:val="List Number"/>
    <w:basedOn w:val="List"/>
    <w:rsid w:val="00277D2A"/>
    <w:pPr>
      <w:numPr>
        <w:numId w:val="14"/>
      </w:numPr>
      <w:tabs>
        <w:tab w:val="clear" w:pos="340"/>
      </w:tabs>
    </w:pPr>
  </w:style>
  <w:style w:type="character" w:customStyle="1" w:styleId="WingdingSymbols">
    <w:name w:val="Wingding Symbols"/>
    <w:rsid w:val="00277D2A"/>
    <w:rPr>
      <w:rFonts w:ascii="Wingdings" w:hAnsi="Wingdings"/>
    </w:rPr>
  </w:style>
  <w:style w:type="paragraph" w:customStyle="1" w:styleId="TableHeading">
    <w:name w:val="Table Heading"/>
    <w:basedOn w:val="HeadingBase"/>
    <w:rsid w:val="00277D2A"/>
    <w:pPr>
      <w:keepLines/>
      <w:pBdr>
        <w:bottom w:val="single" w:sz="6" w:space="1" w:color="918585"/>
      </w:pBdr>
      <w:spacing w:before="240"/>
    </w:pPr>
  </w:style>
  <w:style w:type="character" w:customStyle="1" w:styleId="HotSpot">
    <w:name w:val="HotSpot"/>
    <w:rsid w:val="00277D2A"/>
    <w:rPr>
      <w:color w:val="0033CC"/>
      <w:u w:val="none"/>
    </w:rPr>
  </w:style>
  <w:style w:type="paragraph" w:customStyle="1" w:styleId="BodyTextRight">
    <w:name w:val="Body Text Right"/>
    <w:basedOn w:val="BodyText"/>
    <w:rsid w:val="00277D2A"/>
    <w:pPr>
      <w:spacing w:before="0" w:after="0"/>
      <w:jc w:val="right"/>
    </w:pPr>
  </w:style>
  <w:style w:type="paragraph" w:styleId="Index3">
    <w:name w:val="index 3"/>
    <w:basedOn w:val="ListNumber2"/>
    <w:next w:val="Normal"/>
    <w:semiHidden/>
    <w:rsid w:val="00277D2A"/>
    <w:pPr>
      <w:numPr>
        <w:numId w:val="0"/>
      </w:numPr>
      <w:tabs>
        <w:tab w:val="right" w:leader="dot" w:pos="4176"/>
      </w:tabs>
    </w:pPr>
  </w:style>
  <w:style w:type="paragraph" w:styleId="ListNumber2">
    <w:name w:val="List Number 2"/>
    <w:basedOn w:val="List2"/>
    <w:rsid w:val="00277D2A"/>
    <w:pPr>
      <w:numPr>
        <w:numId w:val="9"/>
      </w:numPr>
      <w:tabs>
        <w:tab w:val="clear" w:pos="1060"/>
      </w:tabs>
    </w:pPr>
  </w:style>
  <w:style w:type="paragraph" w:customStyle="1" w:styleId="MarginNote">
    <w:name w:val="Margin Note"/>
    <w:basedOn w:val="BodyText"/>
    <w:rsid w:val="00277D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D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D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D2A"/>
    <w:rPr>
      <w:sz w:val="32"/>
    </w:rPr>
  </w:style>
  <w:style w:type="paragraph" w:customStyle="1" w:styleId="HeadingProcedure">
    <w:name w:val="Heading Procedure"/>
    <w:basedOn w:val="HeadingBase"/>
    <w:next w:val="Normal"/>
    <w:rsid w:val="00277D2A"/>
    <w:pPr>
      <w:tabs>
        <w:tab w:val="left" w:pos="0"/>
      </w:tabs>
      <w:spacing w:before="120" w:after="60"/>
    </w:pPr>
    <w:rPr>
      <w:i/>
      <w:color w:val="918585"/>
      <w:sz w:val="22"/>
    </w:rPr>
  </w:style>
  <w:style w:type="paragraph" w:customStyle="1" w:styleId="TableBodyText">
    <w:name w:val="Table Body Text"/>
    <w:basedOn w:val="BodyText"/>
    <w:rsid w:val="00277D2A"/>
    <w:pPr>
      <w:spacing w:before="60" w:after="60"/>
    </w:pPr>
  </w:style>
  <w:style w:type="paragraph" w:styleId="ListContinue">
    <w:name w:val="List Continue"/>
    <w:basedOn w:val="List"/>
    <w:rsid w:val="00277D2A"/>
    <w:pPr>
      <w:ind w:firstLine="0"/>
    </w:pPr>
  </w:style>
  <w:style w:type="paragraph" w:customStyle="1" w:styleId="ListNote">
    <w:name w:val="List Note"/>
    <w:basedOn w:val="List"/>
    <w:rsid w:val="00277D2A"/>
    <w:pPr>
      <w:pBdr>
        <w:top w:val="single" w:sz="6" w:space="2" w:color="918585"/>
        <w:bottom w:val="single" w:sz="6" w:space="2" w:color="918585"/>
      </w:pBdr>
      <w:tabs>
        <w:tab w:val="left" w:pos="1021"/>
      </w:tabs>
      <w:ind w:firstLine="0"/>
    </w:pPr>
  </w:style>
  <w:style w:type="paragraph" w:customStyle="1" w:styleId="Warning">
    <w:name w:val="Warning"/>
    <w:basedOn w:val="BodyText"/>
    <w:rsid w:val="00277D2A"/>
    <w:pPr>
      <w:shd w:val="clear" w:color="auto" w:fill="D9D9D9"/>
      <w:tabs>
        <w:tab w:val="left" w:pos="992"/>
      </w:tabs>
      <w:ind w:left="119" w:right="119"/>
    </w:pPr>
    <w:rPr>
      <w:sz w:val="20"/>
    </w:rPr>
  </w:style>
  <w:style w:type="paragraph" w:customStyle="1" w:styleId="MarginIcons">
    <w:name w:val="Margin Icons"/>
    <w:basedOn w:val="BodyText"/>
    <w:rsid w:val="00277D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D2A"/>
    <w:rPr>
      <w:rFonts w:ascii="Courier New" w:hAnsi="Courier New"/>
    </w:rPr>
  </w:style>
  <w:style w:type="paragraph" w:customStyle="1" w:styleId="NoteBullet">
    <w:name w:val="Note Bullet"/>
    <w:basedOn w:val="Note"/>
    <w:rsid w:val="00277D2A"/>
    <w:pPr>
      <w:tabs>
        <w:tab w:val="clear" w:pos="680"/>
      </w:tabs>
      <w:spacing w:before="60" w:after="60"/>
    </w:pPr>
  </w:style>
  <w:style w:type="paragraph" w:customStyle="1" w:styleId="SubHeading2">
    <w:name w:val="SubHeading2"/>
    <w:basedOn w:val="HeadingBase"/>
    <w:rsid w:val="00277D2A"/>
    <w:pPr>
      <w:spacing w:before="240" w:after="60"/>
    </w:pPr>
    <w:rPr>
      <w:sz w:val="20"/>
    </w:rPr>
  </w:style>
  <w:style w:type="paragraph" w:customStyle="1" w:styleId="SubHeading1">
    <w:name w:val="SubHeading1"/>
    <w:basedOn w:val="HeadingBase"/>
    <w:rsid w:val="00277D2A"/>
    <w:pPr>
      <w:spacing w:before="240" w:after="60"/>
    </w:pPr>
    <w:rPr>
      <w:color w:val="918585"/>
      <w:sz w:val="22"/>
    </w:rPr>
  </w:style>
  <w:style w:type="paragraph" w:customStyle="1" w:styleId="SideHeading">
    <w:name w:val="Side Heading"/>
    <w:basedOn w:val="HeadingBase"/>
    <w:rsid w:val="00277D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D2A"/>
    <w:pPr>
      <w:numPr>
        <w:numId w:val="10"/>
      </w:numPr>
    </w:pPr>
  </w:style>
  <w:style w:type="paragraph" w:styleId="PlainText">
    <w:name w:val="Plain Text"/>
    <w:basedOn w:val="Normal"/>
    <w:link w:val="PlainTextChar"/>
    <w:rsid w:val="00277D2A"/>
    <w:rPr>
      <w:sz w:val="20"/>
    </w:rPr>
  </w:style>
  <w:style w:type="character" w:customStyle="1" w:styleId="PlainTextChar">
    <w:name w:val="Plain Text Char"/>
    <w:basedOn w:val="DefaultParagraphFont"/>
    <w:link w:val="PlainText"/>
    <w:rsid w:val="00277D2A"/>
    <w:rPr>
      <w:rFonts w:ascii="Courier New" w:eastAsia="Times New Roman" w:hAnsi="Courier New" w:cs="Times New Roman"/>
      <w:sz w:val="20"/>
      <w:szCs w:val="20"/>
      <w:lang w:eastAsia="en-US"/>
    </w:rPr>
  </w:style>
  <w:style w:type="character" w:customStyle="1" w:styleId="MenuOption">
    <w:name w:val="Menu Option"/>
    <w:basedOn w:val="DefaultParagraphFont"/>
    <w:rsid w:val="00277D2A"/>
    <w:rPr>
      <w:b/>
      <w:smallCaps/>
    </w:rPr>
  </w:style>
  <w:style w:type="paragraph" w:customStyle="1" w:styleId="TableListNumber">
    <w:name w:val="Table List Number"/>
    <w:basedOn w:val="ListNumber"/>
    <w:rsid w:val="00277D2A"/>
    <w:pPr>
      <w:numPr>
        <w:numId w:val="0"/>
      </w:numPr>
    </w:pPr>
  </w:style>
  <w:style w:type="paragraph" w:styleId="TOC4">
    <w:name w:val="toc 4"/>
    <w:basedOn w:val="TOCBase"/>
    <w:next w:val="Normal"/>
    <w:semiHidden/>
    <w:rsid w:val="00277D2A"/>
    <w:pPr>
      <w:tabs>
        <w:tab w:val="right" w:leader="dot" w:pos="9071"/>
      </w:tabs>
      <w:ind w:left="1701"/>
    </w:pPr>
  </w:style>
  <w:style w:type="paragraph" w:customStyle="1" w:styleId="ListAlpha">
    <w:name w:val="List Alpha"/>
    <w:basedOn w:val="List"/>
    <w:rsid w:val="00277D2A"/>
    <w:pPr>
      <w:numPr>
        <w:numId w:val="8"/>
      </w:numPr>
    </w:pPr>
  </w:style>
  <w:style w:type="paragraph" w:customStyle="1" w:styleId="ListAlpha2">
    <w:name w:val="List Alpha 2"/>
    <w:basedOn w:val="List2"/>
    <w:rsid w:val="00277D2A"/>
    <w:pPr>
      <w:numPr>
        <w:numId w:val="7"/>
      </w:numPr>
    </w:pPr>
  </w:style>
  <w:style w:type="paragraph" w:styleId="List2">
    <w:name w:val="List 2"/>
    <w:basedOn w:val="BodyText"/>
    <w:rsid w:val="00277D2A"/>
    <w:pPr>
      <w:tabs>
        <w:tab w:val="left" w:pos="680"/>
      </w:tabs>
      <w:spacing w:before="60" w:after="60"/>
      <w:ind w:left="680" w:hanging="340"/>
    </w:pPr>
  </w:style>
  <w:style w:type="paragraph" w:styleId="List3">
    <w:name w:val="List 3"/>
    <w:basedOn w:val="BodyText"/>
    <w:rsid w:val="00277D2A"/>
    <w:pPr>
      <w:tabs>
        <w:tab w:val="left" w:pos="1021"/>
      </w:tabs>
      <w:spacing w:before="60" w:after="60"/>
      <w:ind w:left="1020" w:hanging="340"/>
    </w:pPr>
  </w:style>
  <w:style w:type="paragraph" w:styleId="List4">
    <w:name w:val="List 4"/>
    <w:basedOn w:val="BodyText"/>
    <w:rsid w:val="00277D2A"/>
    <w:pPr>
      <w:tabs>
        <w:tab w:val="left" w:pos="1361"/>
      </w:tabs>
      <w:spacing w:before="60" w:after="60"/>
      <w:ind w:left="1361" w:hanging="340"/>
    </w:pPr>
  </w:style>
  <w:style w:type="paragraph" w:styleId="List5">
    <w:name w:val="List 5"/>
    <w:basedOn w:val="BodyText"/>
    <w:rsid w:val="00277D2A"/>
    <w:pPr>
      <w:tabs>
        <w:tab w:val="left" w:pos="1701"/>
      </w:tabs>
      <w:spacing w:before="60" w:after="60"/>
      <w:ind w:left="1701" w:hanging="340"/>
    </w:pPr>
  </w:style>
  <w:style w:type="paragraph" w:styleId="ListBullet3">
    <w:name w:val="List Bullet 3"/>
    <w:basedOn w:val="List3"/>
    <w:rsid w:val="00277D2A"/>
    <w:pPr>
      <w:numPr>
        <w:numId w:val="13"/>
      </w:numPr>
      <w:tabs>
        <w:tab w:val="clear" w:pos="1021"/>
      </w:tabs>
      <w:ind w:left="1037" w:hanging="357"/>
    </w:pPr>
  </w:style>
  <w:style w:type="paragraph" w:styleId="ListBullet4">
    <w:name w:val="List Bullet 4"/>
    <w:basedOn w:val="List4"/>
    <w:rsid w:val="00277D2A"/>
    <w:pPr>
      <w:numPr>
        <w:numId w:val="2"/>
      </w:numPr>
      <w:tabs>
        <w:tab w:val="clear" w:pos="1361"/>
      </w:tabs>
    </w:pPr>
  </w:style>
  <w:style w:type="paragraph" w:styleId="ListBullet5">
    <w:name w:val="List Bullet 5"/>
    <w:basedOn w:val="List5"/>
    <w:rsid w:val="00277D2A"/>
    <w:pPr>
      <w:numPr>
        <w:numId w:val="3"/>
      </w:numPr>
    </w:pPr>
  </w:style>
  <w:style w:type="paragraph" w:styleId="ListContinue2">
    <w:name w:val="List Continue 2"/>
    <w:basedOn w:val="List2"/>
    <w:rsid w:val="00277D2A"/>
    <w:pPr>
      <w:ind w:firstLine="0"/>
    </w:pPr>
  </w:style>
  <w:style w:type="paragraph" w:styleId="ListContinue3">
    <w:name w:val="List Continue 3"/>
    <w:basedOn w:val="List3"/>
    <w:rsid w:val="00277D2A"/>
    <w:pPr>
      <w:ind w:left="1021" w:firstLine="0"/>
    </w:pPr>
  </w:style>
  <w:style w:type="paragraph" w:styleId="ListContinue4">
    <w:name w:val="List Continue 4"/>
    <w:basedOn w:val="List4"/>
    <w:rsid w:val="00277D2A"/>
    <w:pPr>
      <w:ind w:firstLine="0"/>
    </w:pPr>
  </w:style>
  <w:style w:type="paragraph" w:styleId="ListContinue5">
    <w:name w:val="List Continue 5"/>
    <w:basedOn w:val="List5"/>
    <w:rsid w:val="00277D2A"/>
    <w:pPr>
      <w:ind w:firstLine="0"/>
    </w:pPr>
  </w:style>
  <w:style w:type="paragraph" w:styleId="ListNumber3">
    <w:name w:val="List Number 3"/>
    <w:basedOn w:val="List3"/>
    <w:rsid w:val="00277D2A"/>
    <w:pPr>
      <w:numPr>
        <w:numId w:val="4"/>
      </w:numPr>
    </w:pPr>
  </w:style>
  <w:style w:type="paragraph" w:styleId="ListNumber4">
    <w:name w:val="List Number 4"/>
    <w:basedOn w:val="List4"/>
    <w:rsid w:val="00277D2A"/>
    <w:pPr>
      <w:numPr>
        <w:numId w:val="5"/>
      </w:numPr>
    </w:pPr>
  </w:style>
  <w:style w:type="paragraph" w:styleId="ListNumber5">
    <w:name w:val="List Number 5"/>
    <w:basedOn w:val="List5"/>
    <w:rsid w:val="00277D2A"/>
    <w:pPr>
      <w:numPr>
        <w:numId w:val="6"/>
      </w:numPr>
    </w:pPr>
  </w:style>
  <w:style w:type="paragraph" w:styleId="BlockText">
    <w:name w:val="Block Text"/>
    <w:basedOn w:val="Normal"/>
    <w:rsid w:val="00277D2A"/>
    <w:pPr>
      <w:spacing w:after="120"/>
      <w:ind w:left="1440" w:right="1440"/>
    </w:pPr>
  </w:style>
  <w:style w:type="character" w:customStyle="1" w:styleId="Subscript">
    <w:name w:val="Subscript"/>
    <w:basedOn w:val="DefaultParagraphFont"/>
    <w:rsid w:val="00277D2A"/>
    <w:rPr>
      <w:sz w:val="16"/>
      <w:vertAlign w:val="subscript"/>
    </w:rPr>
  </w:style>
  <w:style w:type="character" w:customStyle="1" w:styleId="Superscript">
    <w:name w:val="Superscript"/>
    <w:basedOn w:val="DefaultParagraphFont"/>
    <w:rsid w:val="00277D2A"/>
    <w:rPr>
      <w:sz w:val="16"/>
      <w:vertAlign w:val="superscript"/>
    </w:rPr>
  </w:style>
  <w:style w:type="character" w:customStyle="1" w:styleId="Symbols">
    <w:name w:val="Symbols"/>
    <w:basedOn w:val="DefaultParagraphFont"/>
    <w:rsid w:val="00277D2A"/>
    <w:rPr>
      <w:rFonts w:ascii="Symbol" w:hAnsi="Symbol"/>
    </w:rPr>
  </w:style>
  <w:style w:type="character" w:customStyle="1" w:styleId="MenuOptions">
    <w:name w:val="Menu Options"/>
    <w:basedOn w:val="DefaultParagraphFont"/>
    <w:rsid w:val="00277D2A"/>
    <w:rPr>
      <w:rFonts w:ascii="Arial Narrow" w:hAnsi="Arial Narrow"/>
      <w:smallCaps/>
    </w:rPr>
  </w:style>
  <w:style w:type="character" w:customStyle="1" w:styleId="Buttons">
    <w:name w:val="Buttons"/>
    <w:basedOn w:val="DefaultParagraphFont"/>
    <w:rsid w:val="00277D2A"/>
    <w:rPr>
      <w:b/>
    </w:rPr>
  </w:style>
  <w:style w:type="character" w:customStyle="1" w:styleId="Underlined">
    <w:name w:val="Underlined"/>
    <w:basedOn w:val="DefaultParagraphFont"/>
    <w:rsid w:val="00277D2A"/>
    <w:rPr>
      <w:u w:val="single"/>
    </w:rPr>
  </w:style>
  <w:style w:type="paragraph" w:customStyle="1" w:styleId="TableBodyTextRight">
    <w:name w:val="Table Body Text Right"/>
    <w:basedOn w:val="TableBodyText"/>
    <w:rsid w:val="00277D2A"/>
    <w:pPr>
      <w:widowControl w:val="0"/>
      <w:autoSpaceDE w:val="0"/>
      <w:autoSpaceDN w:val="0"/>
      <w:adjustRightInd w:val="0"/>
      <w:jc w:val="right"/>
    </w:pPr>
    <w:rPr>
      <w:rFonts w:cs="Arial"/>
      <w:szCs w:val="18"/>
    </w:rPr>
  </w:style>
  <w:style w:type="paragraph" w:customStyle="1" w:styleId="CopyrightText">
    <w:name w:val="Copyright Text"/>
    <w:basedOn w:val="BodyText"/>
    <w:rsid w:val="00277D2A"/>
    <w:rPr>
      <w:sz w:val="18"/>
    </w:rPr>
  </w:style>
  <w:style w:type="paragraph" w:customStyle="1" w:styleId="BodySmallRight">
    <w:name w:val="Body Small Right"/>
    <w:basedOn w:val="BodyTextRight"/>
    <w:rsid w:val="00277D2A"/>
    <w:rPr>
      <w:sz w:val="18"/>
      <w:szCs w:val="18"/>
    </w:rPr>
  </w:style>
  <w:style w:type="paragraph" w:customStyle="1" w:styleId="MarginEdition">
    <w:name w:val="Margin Edition"/>
    <w:basedOn w:val="MarginNote"/>
    <w:rsid w:val="00277D2A"/>
    <w:pPr>
      <w:spacing w:before="0" w:after="0"/>
    </w:pPr>
    <w:rPr>
      <w:rFonts w:ascii="Times New Roman" w:hAnsi="Times New Roman"/>
      <w:color w:val="999999"/>
    </w:rPr>
  </w:style>
  <w:style w:type="paragraph" w:customStyle="1" w:styleId="Spacer">
    <w:name w:val="Spacer"/>
    <w:basedOn w:val="Normal"/>
    <w:rsid w:val="00277D2A"/>
    <w:rPr>
      <w:sz w:val="2"/>
      <w:szCs w:val="2"/>
    </w:rPr>
  </w:style>
  <w:style w:type="character" w:customStyle="1" w:styleId="Small">
    <w:name w:val="Small"/>
    <w:basedOn w:val="DefaultParagraphFont"/>
    <w:rsid w:val="00277D2A"/>
    <w:rPr>
      <w:sz w:val="16"/>
    </w:rPr>
  </w:style>
  <w:style w:type="paragraph" w:customStyle="1" w:styleId="WideTable">
    <w:name w:val="Wide Table"/>
    <w:basedOn w:val="Normal"/>
    <w:rsid w:val="00277D2A"/>
    <w:pPr>
      <w:ind w:left="-1418"/>
    </w:pPr>
    <w:rPr>
      <w:sz w:val="2"/>
      <w:szCs w:val="2"/>
    </w:rPr>
  </w:style>
  <w:style w:type="character" w:styleId="PageNumber">
    <w:name w:val="page number"/>
    <w:basedOn w:val="DefaultParagraphFont"/>
    <w:rsid w:val="00277D2A"/>
  </w:style>
  <w:style w:type="paragraph" w:styleId="Quote">
    <w:name w:val="Quote"/>
    <w:basedOn w:val="Heading1"/>
    <w:link w:val="QuoteChar"/>
    <w:qFormat/>
    <w:rsid w:val="00277D2A"/>
    <w:rPr>
      <w:b w:val="0"/>
      <w:sz w:val="72"/>
      <w:szCs w:val="72"/>
      <w:lang w:val="en-NZ"/>
    </w:rPr>
  </w:style>
  <w:style w:type="character" w:customStyle="1" w:styleId="QuoteChar">
    <w:name w:val="Quote Char"/>
    <w:basedOn w:val="DefaultParagraphFont"/>
    <w:link w:val="Quote"/>
    <w:rsid w:val="00277D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D2A"/>
    <w:pPr>
      <w:pageBreakBefore/>
    </w:pPr>
  </w:style>
  <w:style w:type="paragraph" w:customStyle="1" w:styleId="Border">
    <w:name w:val="Border"/>
    <w:basedOn w:val="Normal"/>
    <w:qFormat/>
    <w:rsid w:val="00277D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D2A"/>
    <w:rPr>
      <w:b/>
      <w:bCs/>
      <w:i/>
      <w:iCs/>
      <w:color w:val="auto"/>
    </w:rPr>
  </w:style>
  <w:style w:type="paragraph" w:styleId="IntenseQuote">
    <w:name w:val="Intense Quote"/>
    <w:basedOn w:val="Normal"/>
    <w:next w:val="Normal"/>
    <w:link w:val="IntenseQuoteChar"/>
    <w:uiPriority w:val="30"/>
    <w:qFormat/>
    <w:rsid w:val="00277D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D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D2A"/>
    <w:rPr>
      <w:smallCaps/>
      <w:color w:val="auto"/>
      <w:u w:val="single"/>
    </w:rPr>
  </w:style>
  <w:style w:type="character" w:styleId="IntenseReference">
    <w:name w:val="Intense Reference"/>
    <w:basedOn w:val="DefaultParagraphFont"/>
    <w:uiPriority w:val="32"/>
    <w:qFormat/>
    <w:rsid w:val="00277D2A"/>
    <w:rPr>
      <w:b/>
      <w:bCs/>
      <w:smallCaps/>
      <w:color w:val="auto"/>
      <w:spacing w:val="5"/>
      <w:u w:val="single"/>
    </w:rPr>
  </w:style>
  <w:style w:type="paragraph" w:customStyle="1" w:styleId="2ColumnHeading">
    <w:name w:val="2Column Heading"/>
    <w:basedOn w:val="BodyText"/>
    <w:qFormat/>
    <w:rsid w:val="00277D2A"/>
    <w:pPr>
      <w:spacing w:after="60"/>
      <w:ind w:left="-2268"/>
    </w:pPr>
    <w:rPr>
      <w:b/>
    </w:rPr>
  </w:style>
  <w:style w:type="paragraph" w:customStyle="1" w:styleId="Heading1TOC">
    <w:name w:val="Heading1 TOC"/>
    <w:basedOn w:val="Normal"/>
    <w:qFormat/>
    <w:rsid w:val="00277D2A"/>
    <w:pPr>
      <w:spacing w:before="240" w:after="120"/>
    </w:pPr>
    <w:rPr>
      <w:rFonts w:ascii="Times New Roman" w:hAnsi="Times New Roman"/>
      <w:b/>
      <w:sz w:val="32"/>
    </w:rPr>
  </w:style>
  <w:style w:type="paragraph" w:customStyle="1" w:styleId="Heading2TOC">
    <w:name w:val="Heading2 TOC"/>
    <w:basedOn w:val="Normal"/>
    <w:qFormat/>
    <w:rsid w:val="00277D2A"/>
    <w:pPr>
      <w:spacing w:before="240" w:after="60"/>
    </w:pPr>
    <w:rPr>
      <w:rFonts w:ascii="Times New Roman" w:hAnsi="Times New Roman"/>
      <w:b/>
      <w:sz w:val="28"/>
    </w:rPr>
  </w:style>
  <w:style w:type="character" w:customStyle="1" w:styleId="Underline">
    <w:name w:val="Underline"/>
    <w:basedOn w:val="DefaultParagraphFont"/>
    <w:qFormat/>
    <w:rsid w:val="00277D2A"/>
    <w:rPr>
      <w:u w:val="single"/>
    </w:rPr>
  </w:style>
  <w:style w:type="character" w:customStyle="1" w:styleId="BoldandItalics">
    <w:name w:val="Bold and Italics"/>
    <w:qFormat/>
    <w:rsid w:val="00277D2A"/>
    <w:rPr>
      <w:b/>
      <w:i/>
      <w:u w:val="none"/>
    </w:rPr>
  </w:style>
  <w:style w:type="paragraph" w:styleId="BalloonText">
    <w:name w:val="Balloon Text"/>
    <w:basedOn w:val="Normal"/>
    <w:link w:val="BalloonTextChar"/>
    <w:rsid w:val="00277D2A"/>
    <w:rPr>
      <w:rFonts w:ascii="Tahoma" w:hAnsi="Tahoma" w:cs="Tahoma"/>
      <w:sz w:val="16"/>
      <w:szCs w:val="16"/>
    </w:rPr>
  </w:style>
  <w:style w:type="character" w:customStyle="1" w:styleId="BalloonTextChar">
    <w:name w:val="Balloon Text Char"/>
    <w:basedOn w:val="DefaultParagraphFont"/>
    <w:link w:val="BalloonText"/>
    <w:rsid w:val="00277D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D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7D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D2A"/>
    <w:rPr>
      <w:b/>
      <w:color w:val="660033"/>
      <w:spacing w:val="0"/>
    </w:rPr>
  </w:style>
  <w:style w:type="paragraph" w:customStyle="1" w:styleId="Nameditemlist">
    <w:name w:val="Named item list"/>
    <w:basedOn w:val="BodyText"/>
    <w:qFormat/>
    <w:rsid w:val="00277D2A"/>
    <w:pPr>
      <w:tabs>
        <w:tab w:val="left" w:pos="2835"/>
      </w:tabs>
      <w:ind w:left="2835" w:hanging="2835"/>
    </w:pPr>
  </w:style>
  <w:style w:type="paragraph" w:customStyle="1" w:styleId="BodyTextnopadding">
    <w:name w:val="Body Text no padding"/>
    <w:basedOn w:val="BodyText"/>
    <w:qFormat/>
    <w:rsid w:val="00277D2A"/>
    <w:pPr>
      <w:spacing w:before="0" w:after="0"/>
    </w:pPr>
  </w:style>
  <w:style w:type="paragraph" w:customStyle="1" w:styleId="BodyTextBold">
    <w:name w:val="Body Text Bold"/>
    <w:basedOn w:val="BodyText"/>
    <w:qFormat/>
    <w:rsid w:val="00277D2A"/>
    <w:rPr>
      <w:b/>
    </w:rPr>
  </w:style>
  <w:style w:type="character" w:styleId="Hyperlink">
    <w:name w:val="Hyperlink"/>
    <w:basedOn w:val="DefaultParagraphFont"/>
    <w:uiPriority w:val="99"/>
    <w:unhideWhenUsed/>
    <w:rsid w:val="00660F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536</Words>
  <Characters>3641</Characters>
  <Application>Microsoft Office Word</Application>
  <DocSecurity>0</DocSecurity>
  <Lines>72</Lines>
  <Paragraphs>54</Paragraphs>
  <ScaleCrop>false</ScaleCrop>
  <Company>Author-it Software Corporation Ltd.</Company>
  <LinksUpToDate>false</LinksUpToDate>
  <CharactersWithSpaces>4123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TLIO5018 Manage compliance with customs excise</dc:title>
  <dc:subject>Approved</dc:subject>
  <dc:creator>Industry Skills Australia</dc:creator>
  <cp:keywords>Release: 1</cp:keywords>
  <dc:description>Review Date: 12 April 2008</dc:description>
  <cp:lastModifiedBy>HSD_TPCMSd.prod</cp:lastModifiedBy>
  <cp:revision>3</cp:revision>
  <dcterms:created xsi:type="dcterms:W3CDTF">2024-07-12T07:40:00Z</dcterms:created>
  <dcterms:modified xsi:type="dcterms:W3CDTF">2024-07-12T07:40:00Z</dcterms:modified>
</cp:coreProperties>
</file>