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796" w:rsidP="009C67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TLIO5006 Plan and manage security procedures for transferring and transporting dangerous goods</w:t>
      </w:r>
      <w:r>
        <w:fldChar w:fldCharType="end"/>
      </w:r>
    </w:p>
    <w:p w:rsidR="009C6796" w:rsidP="009C6796">
      <w:pPr>
        <w:pStyle w:val="Version"/>
        <w:sectPr w:rsidSect="00606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BEA" w:rsidP="00606BEA">
      <w:pPr>
        <w:pStyle w:val="SuperHeading"/>
      </w:pPr>
      <w:r w:rsidRPr="00606BEA">
        <w:t>TLIO5006 Plan and manage security procedures for transferring and transporting dangerous goods</w:t>
      </w:r>
    </w:p>
    <w:p w:rsidR="00000000" w:rsidRPr="00606BEA" w:rsidP="00606BEA">
      <w:pPr>
        <w:pStyle w:val="Heading1"/>
      </w:pPr>
      <w:bookmarkStart w:id="1" w:name="O_741296"/>
      <w:bookmarkEnd w:id="1"/>
      <w:r w:rsidRPr="00606BEA">
        <w:t>Modification History</w:t>
      </w:r>
    </w:p>
    <w:p w:rsidR="009C6796" w:rsidP="009C6796">
      <w:pPr>
        <w:pStyle w:val="BodyText"/>
      </w:pPr>
      <w:r w:rsidRPr="00606BEA">
        <w:t>Release 1. This is the first release of this unit of competency in the TLI Transport and Logistics Training Package.</w:t>
      </w:r>
    </w:p>
    <w:p w:rsidR="00000000" w:rsidRPr="00606BEA" w:rsidP="00606BEA">
      <w:pPr>
        <w:pStyle w:val="Heading1"/>
      </w:pPr>
      <w:bookmarkStart w:id="2" w:name="O_741297"/>
      <w:bookmarkEnd w:id="2"/>
      <w:r w:rsidRPr="00606BEA">
        <w:t>Application</w:t>
      </w:r>
    </w:p>
    <w:p w:rsidR="00000000" w:rsidRPr="00606BEA" w:rsidP="009C6796">
      <w:pPr>
        <w:pStyle w:val="BodyText"/>
      </w:pPr>
      <w:r w:rsidRPr="00606BEA">
        <w:t>This unit involves the skills and knowledge required to plan and manage security procedures for transferring and transporting dangerous goods in accordance with relevant regulatory requirements and workplace procedures, includin</w:t>
      </w:r>
      <w:r w:rsidRPr="00606BEA">
        <w:t xml:space="preserve">g the current Australian Dangerous Goods (ADG) Code. </w:t>
      </w:r>
    </w:p>
    <w:p w:rsidR="00000000" w:rsidRPr="00606BEA" w:rsidP="009C6796">
      <w:pPr>
        <w:pStyle w:val="BodyText"/>
      </w:pPr>
      <w:r w:rsidRPr="00606BEA">
        <w:t>The unit includes clarifying the movements of hazardous or high risk goods, implementing procedures for loading and unloading goods movement activities, checking and monitoring personnel and goods withi</w:t>
      </w:r>
      <w:r w:rsidRPr="00606BEA">
        <w:t>n the work area, coordinating responses on security incidents/emergencies, carrying out surveillance of work areas, and reviewing and completing goods transfer operations.</w:t>
      </w:r>
    </w:p>
    <w:p w:rsidR="00000000" w:rsidRPr="00606BEA" w:rsidP="009C6796">
      <w:pPr>
        <w:pStyle w:val="BodyText"/>
      </w:pPr>
      <w:r w:rsidRPr="00606BEA">
        <w:t xml:space="preserve">Work is under general guidance on progress and outcomes. It requires discretion and </w:t>
      </w:r>
      <w:r w:rsidRPr="00606BEA">
        <w:t>judgement for self and others in planning and using resources, services and processes to achieve required outcomes.</w:t>
      </w:r>
    </w:p>
    <w:p w:rsidR="00000000" w:rsidRPr="00606BEA" w:rsidP="009C6796">
      <w:pPr>
        <w:pStyle w:val="BodyText"/>
      </w:pPr>
      <w:r w:rsidRPr="00606BEA">
        <w:t>The unit generally applies to those with responsibility for resource coordination and allocation, who lead individuals or teams.</w:t>
      </w:r>
    </w:p>
    <w:p w:rsidR="009C6796" w:rsidP="009C6796">
      <w:pPr>
        <w:pStyle w:val="BodyText"/>
      </w:pPr>
      <w:r w:rsidRPr="00606BEA">
        <w:t>No licensin</w:t>
      </w:r>
      <w:r w:rsidRPr="00606BEA">
        <w:t>g, legislative or certification requirements apply to this unit at the time of publication.</w:t>
      </w:r>
    </w:p>
    <w:p w:rsidR="00000000" w:rsidRPr="00606BEA" w:rsidP="00606BEA">
      <w:pPr>
        <w:pStyle w:val="Heading1"/>
      </w:pPr>
      <w:bookmarkStart w:id="3" w:name="O_741298"/>
      <w:bookmarkEnd w:id="3"/>
      <w:r w:rsidRPr="00606BEA">
        <w:t>Pre-requisite Unit</w:t>
      </w:r>
    </w:p>
    <w:p w:rsidR="00000000" w:rsidRPr="00606BEA" w:rsidP="009C6796">
      <w:pPr>
        <w:pStyle w:val="BodyText"/>
      </w:pPr>
      <w:r w:rsidRPr="00606BEA">
        <w:t>Not applicable.</w:t>
      </w:r>
    </w:p>
    <w:p w:rsidR="00000000" w:rsidRPr="00606BEA" w:rsidP="00606BEA">
      <w:pPr>
        <w:pStyle w:val="Heading1"/>
      </w:pPr>
      <w:bookmarkStart w:id="4" w:name="O_741299"/>
      <w:bookmarkEnd w:id="4"/>
      <w:r w:rsidRPr="00606BEA">
        <w:t>Competency Field</w:t>
      </w:r>
    </w:p>
    <w:p w:rsidR="009C6796" w:rsidP="009C6796">
      <w:pPr>
        <w:pStyle w:val="BodyText"/>
      </w:pPr>
      <w:r w:rsidRPr="00606BEA">
        <w:t>O ‒ Security</w:t>
      </w:r>
    </w:p>
    <w:p w:rsidR="00000000" w:rsidRPr="00606BEA" w:rsidP="00606BEA">
      <w:pPr>
        <w:pStyle w:val="Heading1"/>
      </w:pPr>
      <w:bookmarkStart w:id="5" w:name="O_741300"/>
      <w:bookmarkEnd w:id="5"/>
      <w:r w:rsidRPr="00606BEA">
        <w:t>Unit Sector</w:t>
      </w:r>
    </w:p>
    <w:p w:rsidR="00000000" w:rsidRPr="00606BEA" w:rsidP="009C6796">
      <w:pPr>
        <w:pStyle w:val="BodyText"/>
      </w:pPr>
      <w:r w:rsidRPr="00606BEA">
        <w:t>Not applicable.</w:t>
      </w:r>
    </w:p>
    <w:p w:rsidR="00000000" w:rsidRPr="00606BEA" w:rsidP="00606BEA">
      <w:pPr>
        <w:pStyle w:val="Heading1"/>
      </w:pPr>
      <w:bookmarkStart w:id="6" w:name="O_741301"/>
      <w:bookmarkEnd w:id="6"/>
      <w:r w:rsidRPr="00606BEA">
        <w:t>E</w:t>
      </w:r>
      <w:r w:rsidRPr="00606BEA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BEA" w:rsidP="00606BEA">
            <w:pPr>
              <w:pStyle w:val="BodyText"/>
            </w:pPr>
            <w:r w:rsidRPr="00606BE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rPr>
                <w:rStyle w:val="SpecialBold"/>
              </w:rPr>
              <w:t>PERFORMANCE CRITERIA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Performance criteria describe the performance needed to demonstrate achievement of the element.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BEA" w:rsidP="00606BEA">
            <w:pPr>
              <w:pStyle w:val="BodyText"/>
            </w:pPr>
            <w:r w:rsidRPr="00606BE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rPr>
                <w:rStyle w:val="SpecialBold"/>
              </w:rPr>
              <w:t>Clarify movements of hazardous or high risk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Transport schedule details, nature of risk, special precautions and procedures are planned with line managers, supervisory staff and loaders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Appropriate permits and licences for transfer site/transport route are obtained/confirmed or exemptions are sought, as required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Potential risks or hazards are identified, assessed and processes are planned to manage risk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Information collected</w:t>
            </w:r>
            <w:r w:rsidRPr="00606BEA">
              <w:t xml:space="preserve"> is checked against workplace procedures and relevant regulatory framework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Activities requiring special approval or workplace procedure changes are authorised and/or approvals are obtained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Security procedures are communicated to relevant part</w:t>
            </w:r>
            <w:r w:rsidRPr="00606BEA">
              <w:t>ies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BEA" w:rsidP="00606BEA">
            <w:pPr>
              <w:pStyle w:val="BodyText"/>
            </w:pPr>
            <w:r w:rsidRPr="00606BE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rPr>
                <w:rStyle w:val="SpecialBold"/>
              </w:rPr>
              <w:t>Implement procedures for loading, unloading goods movement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Advice is provided to relevant emergency response groups (internal and/or external) or other affected personnel or contractors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Proc</w:t>
            </w:r>
            <w:r w:rsidRPr="00606BEA">
              <w:t>edures to control movement of equipment and personnel within the goods movement area in relation to identified risks are implemented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Security procedures are monitored and maintained, and action is taken to modify procedures as required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Goods are moved in accordance with relevant enterprise procedures and statutory regulations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BEA" w:rsidP="00606BEA">
            <w:pPr>
              <w:pStyle w:val="BodyText"/>
            </w:pPr>
            <w:r w:rsidRPr="00606BE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rPr>
                <w:rStyle w:val="SpecialBold"/>
              </w:rPr>
              <w:t>Check and monitor personnel and goods within the work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Personnel and vehicles are checked in accordance with enterprise operational procedures and statut</w:t>
            </w:r>
            <w:r w:rsidRPr="00606BEA">
              <w:t>ory authority regulations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Receival and delivery of consignment is recorded in accordance with enterprise operational procedures to ensure identification of carrier, vehicle, consignment, receiver and documentation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BEA" w:rsidP="00606BEA">
            <w:pPr>
              <w:pStyle w:val="BodyText"/>
            </w:pPr>
            <w:r w:rsidRPr="00606BE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rPr>
                <w:rStyle w:val="SpecialBold"/>
              </w:rPr>
              <w:t>Coordinate responses on security incidents/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Security incidents are dealt with in accordance with statutory authority regulations and workplace operational procedures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 xml:space="preserve">Incident reports are communicated in a concise style that conforms </w:t>
            </w:r>
            <w:r w:rsidRPr="00606BEA">
              <w:t>to organisational policy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Potential security risks are observed and reported in accordance with operational procedures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BEA" w:rsidP="00606BEA">
            <w:pPr>
              <w:pStyle w:val="BodyText"/>
            </w:pPr>
            <w:r w:rsidRPr="00606BEA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rPr>
                <w:rStyle w:val="SpecialBold"/>
              </w:rPr>
              <w:t xml:space="preserve">Carry out </w:t>
            </w:r>
            <w:r w:rsidRPr="00606BEA">
              <w:rPr>
                <w:rStyle w:val="SpecialBold"/>
              </w:rPr>
              <w:t>surveillance of work areas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 xml:space="preserve">Surveillance of work areas is in accordance with workplace operational procedures and </w:t>
            </w:r>
            <w:r w:rsidRPr="00606BEA">
              <w:t>regulatory requirements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Buildings and vehicles are appropriately secured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Personnel and vehicles are authorised to be in a secured area in accordance with wo</w:t>
            </w:r>
            <w:r w:rsidRPr="00606BEA">
              <w:t>rkplace security procedures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Checks are made to ensure storage areas and consignments are secure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Measures are taken to confirm equipment is secure, in accordance with workplace procedures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BEA" w:rsidP="00606BEA">
            <w:pPr>
              <w:pStyle w:val="BodyText"/>
            </w:pPr>
            <w:r w:rsidRPr="00606BEA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rPr>
                <w:rStyle w:val="SpecialBold"/>
              </w:rPr>
              <w:t>Review and complete goods transfer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Completed activities are checked against operational plan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Relevant documentation is completed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Specialised equipment used for the process is maintained and stored</w:t>
            </w:r>
          </w:p>
        </w:tc>
      </w:tr>
      <w:tr w:rsidTr="009C6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BEA">
            <w:pPr>
              <w:pStyle w:val="BodyText"/>
              <w:rPr>
                <w:lang w:val="en-NZ"/>
              </w:rPr>
            </w:pPr>
            <w:r w:rsidRPr="00606BEA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BEA" w:rsidP="00606BEA">
            <w:pPr>
              <w:pStyle w:val="BodyText"/>
            </w:pPr>
            <w:r w:rsidRPr="00606BEA">
              <w:t>Worksite is checked and returned to operational status</w:t>
            </w:r>
          </w:p>
        </w:tc>
      </w:tr>
    </w:tbl>
    <w:p w:rsidR="009C6796" w:rsidP="00606BEA">
      <w:pPr>
        <w:pStyle w:val="BodyText"/>
      </w:pPr>
    </w:p>
    <w:p w:rsidR="009C6796" w:rsidP="00606BEA">
      <w:pPr>
        <w:pStyle w:val="BodyText"/>
      </w:pPr>
    </w:p>
    <w:p w:rsidR="00000000" w:rsidRPr="00606BEA" w:rsidP="00606BEA">
      <w:pPr>
        <w:pStyle w:val="Heading1"/>
      </w:pPr>
      <w:bookmarkStart w:id="7" w:name="O_741302"/>
      <w:bookmarkEnd w:id="7"/>
      <w:r w:rsidRPr="00606BEA">
        <w:t>Foundation Skills</w:t>
      </w:r>
    </w:p>
    <w:p w:rsidR="00000000" w:rsidRPr="00606BEA" w:rsidP="009C6796">
      <w:pPr>
        <w:pStyle w:val="BodyText"/>
      </w:pPr>
      <w:r w:rsidRPr="00606BEA">
        <w:t>Foundation skills essential to performance are explicit in the performance criteria of this unit of competency.</w:t>
      </w:r>
    </w:p>
    <w:p w:rsidR="00000000" w:rsidRPr="00606BEA" w:rsidP="00606BEA">
      <w:pPr>
        <w:pStyle w:val="Heading1"/>
      </w:pPr>
      <w:bookmarkStart w:id="8" w:name="O_741303"/>
      <w:bookmarkEnd w:id="8"/>
      <w:r w:rsidRPr="00606BEA">
        <w:t>Range of Conditions</w:t>
      </w:r>
    </w:p>
    <w:p w:rsidR="00000000" w:rsidRPr="00606BEA" w:rsidP="009C6796">
      <w:pPr>
        <w:pStyle w:val="BodyText"/>
      </w:pPr>
      <w:r w:rsidRPr="00606BEA">
        <w:t>Range is restricted to essential operating conditions and any other variables ess</w:t>
      </w:r>
      <w:r w:rsidRPr="00606BEA">
        <w:t>ential to the work environment.</w:t>
      </w:r>
    </w:p>
    <w:p w:rsidR="009C6796" w:rsidP="009C6796">
      <w:pPr>
        <w:pStyle w:val="BodyText"/>
      </w:pPr>
      <w:r w:rsidRPr="00606BEA">
        <w:t>Non-essential conditions can be found in the Companion Volume Implementation Guide.</w:t>
      </w:r>
    </w:p>
    <w:p w:rsidR="00000000" w:rsidRPr="00606BEA" w:rsidP="00606BEA">
      <w:pPr>
        <w:pStyle w:val="Heading1"/>
      </w:pPr>
      <w:bookmarkStart w:id="9" w:name="O_741304"/>
      <w:bookmarkEnd w:id="9"/>
      <w:r w:rsidRPr="00606BEA">
        <w:t>Unit Mapping Information</w:t>
      </w:r>
    </w:p>
    <w:p w:rsidR="009C6796" w:rsidP="009C6796">
      <w:pPr>
        <w:pStyle w:val="BodyText"/>
      </w:pPr>
      <w:r w:rsidRPr="00606BEA">
        <w:t>This unit replaces and is equivalent to TLIO5006A Plan and manage security procedures for transfe</w:t>
      </w:r>
      <w:r w:rsidRPr="00606BEA">
        <w:t>rring and transporting dangerous goods.</w:t>
      </w:r>
    </w:p>
    <w:p w:rsidR="00000000" w:rsidRPr="00606BEA" w:rsidP="00606BEA">
      <w:pPr>
        <w:pStyle w:val="Heading1"/>
      </w:pPr>
      <w:bookmarkStart w:id="10" w:name="O_741311"/>
      <w:bookmarkEnd w:id="10"/>
      <w:r w:rsidRPr="00606BEA">
        <w:t>Links</w:t>
      </w:r>
    </w:p>
    <w:p w:rsidR="00000000" w:rsidRPr="00606BEA" w:rsidP="009C6796">
      <w:pPr>
        <w:pStyle w:val="BodyText"/>
      </w:pPr>
      <w:r w:rsidRPr="00606B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342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6BEA" w:rsidP="00606BEA"/>
    <w:sectPr w:rsidSect="00606B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BEA" w:rsidRPr="009C6796" w:rsidP="009C67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796" w:rsidP="00606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796" w:rsidP="00606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C6796" w:rsidP="00606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7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BEA" w:rsidRPr="009C6796" w:rsidP="009C67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796" w:rsidRPr="002D2AF8" w:rsidP="00606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TLIO5006 Plan and manage security procedures for transferring and transporting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C6796" w:rsidP="00606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BEA"/>
  </w:style>
  <w:style w:type="character" w:customStyle="1" w:styleId="Heading1Char">
    <w:name w:val="Heading 1 Char"/>
    <w:basedOn w:val="DefaultParagraphFont"/>
    <w:link w:val="Heading1"/>
    <w:rsid w:val="00606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B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B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6BEA"/>
    <w:rPr>
      <w:b/>
      <w:spacing w:val="0"/>
    </w:rPr>
  </w:style>
  <w:style w:type="paragraph" w:customStyle="1" w:styleId="SuperHeading">
    <w:name w:val="SuperHeading"/>
    <w:basedOn w:val="Normal"/>
    <w:rsid w:val="00606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B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B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6B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6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B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B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BEA"/>
    <w:rPr>
      <w:i/>
    </w:rPr>
  </w:style>
  <w:style w:type="paragraph" w:styleId="Caption">
    <w:name w:val="caption"/>
    <w:basedOn w:val="BodyText"/>
    <w:next w:val="Normal"/>
    <w:qFormat/>
    <w:rsid w:val="00606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BEA"/>
  </w:style>
  <w:style w:type="paragraph" w:styleId="TableofFigures">
    <w:name w:val="table of figures"/>
    <w:basedOn w:val="Normal"/>
    <w:next w:val="Normal"/>
    <w:semiHidden/>
    <w:rsid w:val="00606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B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6BEA"/>
    <w:rPr>
      <w:rFonts w:ascii="Wingdings" w:hAnsi="Wingdings"/>
    </w:rPr>
  </w:style>
  <w:style w:type="paragraph" w:customStyle="1" w:styleId="TableHeading">
    <w:name w:val="Table Heading"/>
    <w:basedOn w:val="HeadingBase"/>
    <w:rsid w:val="00606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BEA"/>
    <w:rPr>
      <w:color w:val="0033CC"/>
      <w:u w:val="none"/>
    </w:rPr>
  </w:style>
  <w:style w:type="paragraph" w:customStyle="1" w:styleId="BodyTextRight">
    <w:name w:val="Body Text Right"/>
    <w:basedOn w:val="BodyText"/>
    <w:rsid w:val="00606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B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BEA"/>
    <w:rPr>
      <w:sz w:val="32"/>
    </w:rPr>
  </w:style>
  <w:style w:type="paragraph" w:customStyle="1" w:styleId="HeadingProcedure">
    <w:name w:val="Heading Procedure"/>
    <w:basedOn w:val="HeadingBase"/>
    <w:next w:val="Normal"/>
    <w:rsid w:val="00606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BEA"/>
    <w:pPr>
      <w:spacing w:before="60" w:after="60"/>
    </w:pPr>
  </w:style>
  <w:style w:type="paragraph" w:styleId="ListContinue">
    <w:name w:val="List Continue"/>
    <w:basedOn w:val="List"/>
    <w:rsid w:val="00606BEA"/>
    <w:pPr>
      <w:ind w:firstLine="0"/>
    </w:pPr>
  </w:style>
  <w:style w:type="paragraph" w:customStyle="1" w:styleId="ListNote">
    <w:name w:val="List Note"/>
    <w:basedOn w:val="List"/>
    <w:rsid w:val="00606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BEA"/>
    <w:rPr>
      <w:rFonts w:ascii="Courier New" w:hAnsi="Courier New"/>
    </w:rPr>
  </w:style>
  <w:style w:type="paragraph" w:customStyle="1" w:styleId="NoteBullet">
    <w:name w:val="Note Bullet"/>
    <w:basedOn w:val="Note"/>
    <w:rsid w:val="00606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B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6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BEA"/>
    <w:rPr>
      <w:b/>
      <w:smallCaps/>
    </w:rPr>
  </w:style>
  <w:style w:type="paragraph" w:customStyle="1" w:styleId="TableListNumber">
    <w:name w:val="Table List Number"/>
    <w:basedOn w:val="ListNumber"/>
    <w:rsid w:val="00606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BEA"/>
    <w:pPr>
      <w:numPr>
        <w:numId w:val="7"/>
      </w:numPr>
    </w:pPr>
  </w:style>
  <w:style w:type="paragraph" w:customStyle="1" w:styleId="ListAlpha2">
    <w:name w:val="List Alpha 2"/>
    <w:basedOn w:val="List2"/>
    <w:rsid w:val="00606BEA"/>
    <w:pPr>
      <w:numPr>
        <w:numId w:val="6"/>
      </w:numPr>
    </w:pPr>
  </w:style>
  <w:style w:type="paragraph" w:styleId="List2">
    <w:name w:val="List 2"/>
    <w:basedOn w:val="BodyText"/>
    <w:rsid w:val="00606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B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B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6BEA"/>
    <w:pPr>
      <w:numPr>
        <w:numId w:val="2"/>
      </w:numPr>
    </w:pPr>
  </w:style>
  <w:style w:type="paragraph" w:styleId="ListContinue2">
    <w:name w:val="List Continue 2"/>
    <w:basedOn w:val="List2"/>
    <w:rsid w:val="00606BEA"/>
    <w:pPr>
      <w:ind w:firstLine="0"/>
    </w:pPr>
  </w:style>
  <w:style w:type="paragraph" w:styleId="ListContinue3">
    <w:name w:val="List Continue 3"/>
    <w:basedOn w:val="List3"/>
    <w:rsid w:val="00606BEA"/>
    <w:pPr>
      <w:ind w:left="1021" w:firstLine="0"/>
    </w:pPr>
  </w:style>
  <w:style w:type="paragraph" w:styleId="ListContinue4">
    <w:name w:val="List Continue 4"/>
    <w:basedOn w:val="List4"/>
    <w:rsid w:val="00606BEA"/>
    <w:pPr>
      <w:ind w:firstLine="0"/>
    </w:pPr>
  </w:style>
  <w:style w:type="paragraph" w:styleId="ListContinue5">
    <w:name w:val="List Continue 5"/>
    <w:basedOn w:val="List5"/>
    <w:rsid w:val="00606BEA"/>
    <w:pPr>
      <w:ind w:firstLine="0"/>
    </w:pPr>
  </w:style>
  <w:style w:type="paragraph" w:styleId="ListNumber3">
    <w:name w:val="List Number 3"/>
    <w:basedOn w:val="List3"/>
    <w:rsid w:val="00606BEA"/>
    <w:pPr>
      <w:numPr>
        <w:numId w:val="3"/>
      </w:numPr>
    </w:pPr>
  </w:style>
  <w:style w:type="paragraph" w:styleId="ListNumber4">
    <w:name w:val="List Number 4"/>
    <w:basedOn w:val="List4"/>
    <w:rsid w:val="00606BEA"/>
    <w:pPr>
      <w:numPr>
        <w:numId w:val="4"/>
      </w:numPr>
    </w:pPr>
  </w:style>
  <w:style w:type="paragraph" w:styleId="ListNumber5">
    <w:name w:val="List Number 5"/>
    <w:basedOn w:val="List5"/>
    <w:rsid w:val="00606BEA"/>
    <w:pPr>
      <w:numPr>
        <w:numId w:val="5"/>
      </w:numPr>
    </w:pPr>
  </w:style>
  <w:style w:type="paragraph" w:styleId="BlockText">
    <w:name w:val="Block Text"/>
    <w:basedOn w:val="Normal"/>
    <w:rsid w:val="00606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BEA"/>
    <w:rPr>
      <w:sz w:val="16"/>
      <w:vertAlign w:val="superscript"/>
    </w:rPr>
  </w:style>
  <w:style w:type="character" w:customStyle="1" w:styleId="Symbols">
    <w:name w:val="Symbols"/>
    <w:basedOn w:val="DefaultParagraphFont"/>
    <w:rsid w:val="00606BEA"/>
    <w:rPr>
      <w:rFonts w:ascii="Symbol" w:hAnsi="Symbol"/>
    </w:rPr>
  </w:style>
  <w:style w:type="character" w:customStyle="1" w:styleId="MenuOptions">
    <w:name w:val="Menu Options"/>
    <w:basedOn w:val="DefaultParagraphFont"/>
    <w:rsid w:val="00606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BEA"/>
    <w:rPr>
      <w:b/>
    </w:rPr>
  </w:style>
  <w:style w:type="character" w:customStyle="1" w:styleId="Underlined">
    <w:name w:val="Underlined"/>
    <w:basedOn w:val="DefaultParagraphFont"/>
    <w:rsid w:val="00606BEA"/>
    <w:rPr>
      <w:u w:val="single"/>
    </w:rPr>
  </w:style>
  <w:style w:type="paragraph" w:customStyle="1" w:styleId="TableBodyTextRight">
    <w:name w:val="Table Body Text Right"/>
    <w:basedOn w:val="TableBodyText"/>
    <w:rsid w:val="00606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BEA"/>
    <w:rPr>
      <w:sz w:val="18"/>
    </w:rPr>
  </w:style>
  <w:style w:type="paragraph" w:customStyle="1" w:styleId="BodySmallRight">
    <w:name w:val="Body Small Right"/>
    <w:basedOn w:val="BodyTextRight"/>
    <w:rsid w:val="00606BEA"/>
    <w:rPr>
      <w:sz w:val="18"/>
      <w:szCs w:val="18"/>
    </w:rPr>
  </w:style>
  <w:style w:type="paragraph" w:customStyle="1" w:styleId="MarginEdition">
    <w:name w:val="Margin Edition"/>
    <w:basedOn w:val="MarginNote"/>
    <w:rsid w:val="00606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BEA"/>
    <w:rPr>
      <w:sz w:val="2"/>
      <w:szCs w:val="2"/>
    </w:rPr>
  </w:style>
  <w:style w:type="character" w:customStyle="1" w:styleId="Small">
    <w:name w:val="Small"/>
    <w:basedOn w:val="DefaultParagraphFont"/>
    <w:rsid w:val="00606BEA"/>
    <w:rPr>
      <w:sz w:val="16"/>
    </w:rPr>
  </w:style>
  <w:style w:type="paragraph" w:customStyle="1" w:styleId="WideTable">
    <w:name w:val="Wide Table"/>
    <w:basedOn w:val="Normal"/>
    <w:rsid w:val="00606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BEA"/>
  </w:style>
  <w:style w:type="paragraph" w:styleId="Quote">
    <w:name w:val="Quote"/>
    <w:basedOn w:val="Heading1"/>
    <w:link w:val="QuoteChar"/>
    <w:qFormat/>
    <w:rsid w:val="00606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BEA"/>
    <w:pPr>
      <w:pageBreakBefore/>
    </w:pPr>
  </w:style>
  <w:style w:type="paragraph" w:customStyle="1" w:styleId="Border">
    <w:name w:val="Border"/>
    <w:basedOn w:val="Normal"/>
    <w:qFormat/>
    <w:rsid w:val="00606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BEA"/>
    <w:rPr>
      <w:u w:val="single"/>
    </w:rPr>
  </w:style>
  <w:style w:type="character" w:customStyle="1" w:styleId="BoldandItalics">
    <w:name w:val="Bold and Italics"/>
    <w:qFormat/>
    <w:rsid w:val="00606BEA"/>
    <w:rPr>
      <w:b/>
      <w:i/>
      <w:u w:val="none"/>
    </w:rPr>
  </w:style>
  <w:style w:type="paragraph" w:styleId="BalloonText">
    <w:name w:val="Balloon Text"/>
    <w:basedOn w:val="Normal"/>
    <w:link w:val="BalloonTextChar"/>
    <w:rsid w:val="00606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B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B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BEA"/>
    <w:pPr>
      <w:spacing w:before="0" w:after="0"/>
    </w:pPr>
  </w:style>
  <w:style w:type="paragraph" w:customStyle="1" w:styleId="BodyTextBold">
    <w:name w:val="Body Text Bold"/>
    <w:basedOn w:val="BodyText"/>
    <w:qFormat/>
    <w:rsid w:val="00606BEA"/>
    <w:rPr>
      <w:b/>
    </w:rPr>
  </w:style>
  <w:style w:type="character" w:styleId="Hyperlink">
    <w:name w:val="Hyperlink"/>
    <w:basedOn w:val="DefaultParagraphFont"/>
    <w:uiPriority w:val="99"/>
    <w:unhideWhenUsed/>
    <w:rsid w:val="009C67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4673</Characters>
  <Application>Microsoft Office Word</Application>
  <DocSecurity>0</DocSecurity>
  <Lines>203</Lines>
  <Paragraphs>108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TLIO5006 Plan and manage security procedures for transferring and transporting dangerous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2024-07-12T08:11:00Z</dcterms:created>
  <dcterms:modified xsi:type="dcterms:W3CDTF">2024-07-12T08:11:00Z</dcterms:modified>
</cp:coreProperties>
</file>