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FCB" w:rsidP="00FD7F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TLIO5005 Plan and manage security procedures for the enterprise</w:t>
      </w:r>
      <w:r>
        <w:fldChar w:fldCharType="end"/>
      </w:r>
    </w:p>
    <w:p w:rsidR="00FD7FCB" w:rsidP="00FD7FCB">
      <w:pPr>
        <w:pStyle w:val="Version"/>
        <w:sectPr w:rsidSect="005F5D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D94" w:rsidP="005F5D94">
      <w:pPr>
        <w:pStyle w:val="SuperHeading"/>
      </w:pPr>
      <w:r w:rsidRPr="005F5D94">
        <w:t>TLIO5005 Plan and manage security procedures for the enterprise</w:t>
      </w:r>
    </w:p>
    <w:p w:rsidR="00000000" w:rsidRPr="005F5D94" w:rsidP="005F5D94">
      <w:pPr>
        <w:pStyle w:val="Heading1"/>
      </w:pPr>
      <w:bookmarkStart w:id="1" w:name="O_741276"/>
      <w:bookmarkEnd w:id="1"/>
      <w:r w:rsidRPr="005F5D94">
        <w:t>Modification History</w:t>
      </w:r>
    </w:p>
    <w:p w:rsidR="00FD7FCB" w:rsidP="00FD7FCB">
      <w:pPr>
        <w:pStyle w:val="BodyText"/>
      </w:pPr>
      <w:r w:rsidRPr="005F5D94">
        <w:t>Release 1. This is the first release of this unit of competency in the TLI Transport and Logistics Training Package.</w:t>
      </w:r>
    </w:p>
    <w:p w:rsidR="00000000" w:rsidRPr="005F5D94" w:rsidP="005F5D94">
      <w:pPr>
        <w:pStyle w:val="Heading1"/>
      </w:pPr>
      <w:bookmarkStart w:id="2" w:name="O_741277"/>
      <w:bookmarkEnd w:id="2"/>
      <w:r w:rsidRPr="005F5D94">
        <w:t>Application</w:t>
      </w:r>
    </w:p>
    <w:p w:rsidR="00000000" w:rsidRPr="005F5D94" w:rsidP="00FD7FCB">
      <w:pPr>
        <w:pStyle w:val="BodyText"/>
      </w:pPr>
      <w:r w:rsidRPr="005F5D94">
        <w:t xml:space="preserve">This unit involves the skills and knowledge required to plan and manage the enterprise’s security procedures, in accordance with relevant standards, codes of practice, regulatory requirements and workplace procedures. </w:t>
      </w:r>
    </w:p>
    <w:p w:rsidR="00000000" w:rsidRPr="005F5D94" w:rsidP="00FD7FCB">
      <w:pPr>
        <w:pStyle w:val="BodyText"/>
      </w:pPr>
      <w:r w:rsidRPr="005F5D94">
        <w:t>It includes assessing security risks,</w:t>
      </w:r>
      <w:r w:rsidRPr="005F5D94">
        <w:t xml:space="preserve"> specifying security requirements, implementing a security plan as well as monitoring and reviewing the security system performance.</w:t>
      </w:r>
    </w:p>
    <w:p w:rsidR="00000000" w:rsidRPr="005F5D94" w:rsidP="00FD7FCB">
      <w:pPr>
        <w:pStyle w:val="BodyText"/>
      </w:pPr>
      <w:r w:rsidRPr="005F5D94">
        <w:t>Work is under general guidance on progress and outcomes. It requires discretion and judgement for self and others in planni</w:t>
      </w:r>
      <w:r w:rsidRPr="005F5D94">
        <w:t>ng and using resources, services and processes to achieve required outcomes.</w:t>
      </w:r>
    </w:p>
    <w:p w:rsidR="00000000" w:rsidRPr="005F5D94" w:rsidP="00FD7FCB">
      <w:pPr>
        <w:pStyle w:val="BodyText"/>
      </w:pPr>
      <w:r w:rsidRPr="005F5D94">
        <w:t>The unit generally applies to those with responsibility for resource coordination and allocation, who lead individuals or teams.</w:t>
      </w:r>
    </w:p>
    <w:p w:rsidR="00FD7FCB" w:rsidP="00FD7FCB">
      <w:pPr>
        <w:pStyle w:val="BodyText"/>
      </w:pPr>
      <w:r w:rsidRPr="005F5D94">
        <w:t>No licensing, legislative or certification require</w:t>
      </w:r>
      <w:r w:rsidRPr="005F5D94">
        <w:t>ments apply to this unit at the time of publication.</w:t>
      </w:r>
    </w:p>
    <w:p w:rsidR="00000000" w:rsidRPr="005F5D94" w:rsidP="005F5D94">
      <w:pPr>
        <w:pStyle w:val="Heading1"/>
      </w:pPr>
      <w:bookmarkStart w:id="3" w:name="O_741278"/>
      <w:bookmarkEnd w:id="3"/>
      <w:r w:rsidRPr="005F5D94">
        <w:t>Pre-requisite Unit</w:t>
      </w:r>
    </w:p>
    <w:p w:rsidR="00000000" w:rsidRPr="005F5D94" w:rsidP="00FD7FCB">
      <w:pPr>
        <w:pStyle w:val="BodyText"/>
      </w:pPr>
      <w:r w:rsidRPr="005F5D94">
        <w:t>Not applicable.</w:t>
      </w:r>
    </w:p>
    <w:p w:rsidR="00000000" w:rsidRPr="005F5D94" w:rsidP="005F5D94">
      <w:pPr>
        <w:pStyle w:val="Heading1"/>
      </w:pPr>
      <w:bookmarkStart w:id="4" w:name="O_741279"/>
      <w:bookmarkEnd w:id="4"/>
      <w:r w:rsidRPr="005F5D94">
        <w:t>Competency Field</w:t>
      </w:r>
    </w:p>
    <w:p w:rsidR="00000000" w:rsidRPr="005F5D94" w:rsidP="00FD7FCB">
      <w:pPr>
        <w:pStyle w:val="BodyText"/>
      </w:pPr>
      <w:r w:rsidRPr="005F5D94">
        <w:t>O ‒ Security</w:t>
      </w:r>
    </w:p>
    <w:p w:rsidR="00000000" w:rsidRPr="005F5D94" w:rsidP="005F5D94">
      <w:pPr>
        <w:pStyle w:val="Heading1"/>
      </w:pPr>
      <w:bookmarkStart w:id="5" w:name="O_741280"/>
      <w:bookmarkEnd w:id="5"/>
      <w:r w:rsidRPr="005F5D94">
        <w:t>Unit Sector</w:t>
      </w:r>
    </w:p>
    <w:p w:rsidR="00000000" w:rsidRPr="005F5D94" w:rsidP="00FD7FCB">
      <w:pPr>
        <w:pStyle w:val="BodyText"/>
      </w:pPr>
      <w:r w:rsidRPr="005F5D94">
        <w:t>Not applicable.</w:t>
      </w:r>
    </w:p>
    <w:p w:rsidR="00000000" w:rsidRPr="005F5D94" w:rsidP="005F5D94">
      <w:pPr>
        <w:pStyle w:val="Heading1"/>
      </w:pPr>
      <w:bookmarkStart w:id="6" w:name="O_741281"/>
      <w:bookmarkEnd w:id="6"/>
      <w:r w:rsidRPr="005F5D9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4" w:rsidP="005F5D94">
            <w:pPr>
              <w:pStyle w:val="BodyText"/>
            </w:pPr>
            <w:r w:rsidRPr="005F5D94">
              <w:rPr>
                <w:rStyle w:val="SpecialBold"/>
              </w:rPr>
              <w:t>ELEMENT</w:t>
            </w:r>
            <w:r w:rsidRPr="005F5D94">
              <w:rPr>
                <w:rStyle w:val="SpecialBold"/>
              </w:rPr>
              <w:t>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rPr>
                <w:rStyle w:val="SpecialBold"/>
              </w:rPr>
              <w:t>PERFORMANCE CRITERIA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 xml:space="preserve">Elements describe the </w:t>
            </w:r>
            <w:r w:rsidRPr="005F5D94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 xml:space="preserve">Performance criteria describe the performance needed to </w:t>
            </w:r>
            <w:r w:rsidRPr="005F5D94">
              <w:t>demonstrate achievement of the element.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4" w:rsidP="005F5D94">
            <w:pPr>
              <w:pStyle w:val="BodyText"/>
            </w:pPr>
            <w:r w:rsidRPr="005F5D9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rPr>
                <w:rStyle w:val="SpecialBold"/>
              </w:rPr>
              <w:t>Assess security risks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Records of security breaches, thefts and damage are reviewed to identify past security incidents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Potential risks to the security of stock, personnel, facilities, information and equipment are identified, considering internal and external factors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Relative risks from a range of sources are assessed and compared with existing security measures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Discrepancies between identified risk and current security processes are noted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4" w:rsidP="005F5D94">
            <w:pPr>
              <w:pStyle w:val="BodyText"/>
            </w:pPr>
            <w:r w:rsidRPr="005F5D9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rPr>
                <w:rStyle w:val="SpecialBold"/>
              </w:rPr>
              <w:t>Specify security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Decisions and adjustments to sec</w:t>
            </w:r>
            <w:r w:rsidRPr="005F5D94">
              <w:t xml:space="preserve">urity equipment, facilities and services are made based on risk assessment in relation to organisational benefits 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Security organisational arrangements are documented and implementation strategies are established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Security plan including performance indicators is prepared in accordance with workplace requirements and is circulated for feedback prior to finalisation and implementation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Questions and feedback from stakeholders are responded to promptly and, wher</w:t>
            </w:r>
            <w:r w:rsidRPr="005F5D94">
              <w:t>e appropriate, incorporated in the plan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4" w:rsidP="005F5D94">
            <w:pPr>
              <w:pStyle w:val="BodyText"/>
            </w:pPr>
            <w:r w:rsidRPr="005F5D9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rPr>
                <w:rStyle w:val="SpecialBold"/>
              </w:rPr>
              <w:t>Implement security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Implementation priorities are identified, and management and workplace personnel are informed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Competency requirements for the work are identified and staff are allocated and/or trained and assessed to meet identified requirements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Equipment and facilities are allocated and/or obtained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Workplace personnel and equipment are orga</w:t>
            </w:r>
            <w:r w:rsidRPr="005F5D94">
              <w:t>nised to meet requirements ensuring that work loads are balanced and other workplace activities are met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Workplace security policies and procedures are amended and trialled to improve performance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 xml:space="preserve">Operating procedures and methods are explained </w:t>
            </w:r>
            <w:r w:rsidRPr="005F5D94">
              <w:t>to workplace personnel and follow-up communication methods are used to ensure work requirements are applied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4" w:rsidP="005F5D94">
            <w:pPr>
              <w:pStyle w:val="BodyText"/>
            </w:pPr>
            <w:r w:rsidRPr="005F5D9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rPr>
                <w:rStyle w:val="SpecialBold"/>
              </w:rPr>
              <w:t xml:space="preserve">Monitor and review </w:t>
            </w:r>
            <w:r w:rsidRPr="005F5D94">
              <w:rPr>
                <w:rStyle w:val="SpecialBold"/>
              </w:rPr>
              <w:t>system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Security reports are collated and categorised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Reports are compared to identify trends in breaches</w:t>
            </w:r>
          </w:p>
        </w:tc>
      </w:tr>
      <w:tr w:rsidTr="00FD7FC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4">
            <w:pPr>
              <w:pStyle w:val="BodyText"/>
              <w:rPr>
                <w:lang w:val="en-NZ"/>
              </w:rPr>
            </w:pPr>
            <w:r w:rsidRPr="005F5D9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4" w:rsidP="005F5D94">
            <w:pPr>
              <w:pStyle w:val="BodyText"/>
            </w:pPr>
            <w:r w:rsidRPr="005F5D94">
              <w:t xml:space="preserve">Security procedures are modified to rectify identified gaps </w:t>
            </w:r>
          </w:p>
        </w:tc>
      </w:tr>
    </w:tbl>
    <w:p w:rsidR="00FD7FCB" w:rsidP="005F5D94">
      <w:pPr>
        <w:pStyle w:val="BodyText"/>
      </w:pPr>
    </w:p>
    <w:p w:rsidR="00FD7FCB" w:rsidP="005F5D94">
      <w:pPr>
        <w:pStyle w:val="BodyText"/>
      </w:pPr>
    </w:p>
    <w:p w:rsidR="00000000" w:rsidRPr="005F5D94" w:rsidP="005F5D94">
      <w:pPr>
        <w:pStyle w:val="Heading1"/>
      </w:pPr>
      <w:bookmarkStart w:id="7" w:name="O_741282"/>
      <w:bookmarkEnd w:id="7"/>
      <w:r w:rsidRPr="005F5D94">
        <w:t>Foundation Skills</w:t>
      </w:r>
    </w:p>
    <w:p w:rsidR="00FD7FCB" w:rsidP="00FD7FCB">
      <w:pPr>
        <w:pStyle w:val="BodyText"/>
      </w:pPr>
      <w:r w:rsidRPr="005F5D94">
        <w:t>Foundation skills essential to performance are explicit in the performance criteria of this unit of competency.</w:t>
      </w:r>
    </w:p>
    <w:p w:rsidR="00000000" w:rsidRPr="005F5D94" w:rsidP="005F5D94">
      <w:pPr>
        <w:pStyle w:val="Heading1"/>
      </w:pPr>
      <w:bookmarkStart w:id="8" w:name="O_741283"/>
      <w:bookmarkEnd w:id="8"/>
      <w:r w:rsidRPr="005F5D94">
        <w:t>Range of Conditions</w:t>
      </w:r>
    </w:p>
    <w:p w:rsidR="00000000" w:rsidRPr="005F5D94" w:rsidP="00FD7FCB">
      <w:pPr>
        <w:pStyle w:val="BodyText"/>
      </w:pPr>
      <w:r w:rsidRPr="005F5D94">
        <w:t>Range is restricted to essential operating conditions and any other variables essential to the work enviro</w:t>
      </w:r>
      <w:r w:rsidRPr="005F5D94">
        <w:t>nment.</w:t>
      </w:r>
    </w:p>
    <w:p w:rsidR="00FD7FCB" w:rsidP="00FD7FCB">
      <w:pPr>
        <w:pStyle w:val="BodyText"/>
      </w:pPr>
      <w:r w:rsidRPr="005F5D94">
        <w:t>Non-essential conditions can be found in the Companion Volume Implementation Guide.</w:t>
      </w:r>
    </w:p>
    <w:p w:rsidR="00000000" w:rsidRPr="005F5D94" w:rsidP="005F5D94">
      <w:pPr>
        <w:pStyle w:val="Heading1"/>
      </w:pPr>
      <w:bookmarkStart w:id="9" w:name="O_741284"/>
      <w:bookmarkEnd w:id="9"/>
      <w:r w:rsidRPr="005F5D94">
        <w:t>Unit Mapping Information</w:t>
      </w:r>
    </w:p>
    <w:p w:rsidR="00000000" w:rsidRPr="005F5D94" w:rsidP="00FD7FCB">
      <w:pPr>
        <w:pStyle w:val="BodyText"/>
      </w:pPr>
      <w:r w:rsidRPr="005F5D94">
        <w:t>This unit replaces and is equivalent to TLIO5005A Plan and manage security procedures for the enterprise.</w:t>
      </w:r>
    </w:p>
    <w:p w:rsidR="00000000" w:rsidRPr="005F5D94" w:rsidP="005F5D94">
      <w:pPr>
        <w:pStyle w:val="Heading1"/>
      </w:pPr>
      <w:bookmarkStart w:id="10" w:name="O_741291"/>
      <w:bookmarkEnd w:id="10"/>
      <w:r w:rsidRPr="005F5D94">
        <w:t>Links</w:t>
      </w:r>
    </w:p>
    <w:p w:rsidR="00000000" w:rsidRPr="005F5D94" w:rsidP="00FD7FCB">
      <w:pPr>
        <w:pStyle w:val="BodyText"/>
      </w:pPr>
      <w:r w:rsidRPr="005F5D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C4C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F5D94" w:rsidP="005F5D94"/>
    <w:sectPr w:rsidSect="005F5D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94" w:rsidRPr="00FD7FCB" w:rsidP="00FD7F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CB" w:rsidP="005F5D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FCB" w:rsidP="005F5D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D7FCB" w:rsidP="005F5D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D94" w:rsidRPr="00FD7FCB" w:rsidP="00FD7F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CB" w:rsidRPr="002D2AF8" w:rsidP="005F5D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TLIO5005 Plan and manage security procedures for the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D7FCB" w:rsidP="005F5D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D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D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D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D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D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D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D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D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D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D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D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D94"/>
  </w:style>
  <w:style w:type="character" w:customStyle="1" w:styleId="Heading1Char">
    <w:name w:val="Heading 1 Char"/>
    <w:basedOn w:val="DefaultParagraphFont"/>
    <w:link w:val="Heading1"/>
    <w:rsid w:val="005F5D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D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D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5D94"/>
    <w:rPr>
      <w:b/>
      <w:spacing w:val="0"/>
    </w:rPr>
  </w:style>
  <w:style w:type="paragraph" w:customStyle="1" w:styleId="SuperHeading">
    <w:name w:val="SuperHeading"/>
    <w:basedOn w:val="Normal"/>
    <w:rsid w:val="005F5D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D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D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D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D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D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D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D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D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D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D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D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D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D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D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D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D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5D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5D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D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D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D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5D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5D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D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D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D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D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D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D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D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D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D94"/>
    <w:rPr>
      <w:i/>
    </w:rPr>
  </w:style>
  <w:style w:type="paragraph" w:styleId="Caption">
    <w:name w:val="caption"/>
    <w:basedOn w:val="BodyText"/>
    <w:next w:val="Normal"/>
    <w:qFormat/>
    <w:rsid w:val="005F5D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D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D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D94"/>
  </w:style>
  <w:style w:type="paragraph" w:styleId="TableofFigures">
    <w:name w:val="table of figures"/>
    <w:basedOn w:val="Normal"/>
    <w:next w:val="Normal"/>
    <w:semiHidden/>
    <w:rsid w:val="005F5D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D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5D94"/>
    <w:rPr>
      <w:rFonts w:ascii="Wingdings" w:hAnsi="Wingdings"/>
    </w:rPr>
  </w:style>
  <w:style w:type="paragraph" w:customStyle="1" w:styleId="TableHeading">
    <w:name w:val="Table Heading"/>
    <w:basedOn w:val="HeadingBase"/>
    <w:rsid w:val="005F5D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D94"/>
    <w:rPr>
      <w:color w:val="0033CC"/>
      <w:u w:val="none"/>
    </w:rPr>
  </w:style>
  <w:style w:type="paragraph" w:customStyle="1" w:styleId="BodyTextRight">
    <w:name w:val="Body Text Right"/>
    <w:basedOn w:val="BodyText"/>
    <w:rsid w:val="005F5D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D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D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D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D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D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D94"/>
    <w:rPr>
      <w:sz w:val="32"/>
    </w:rPr>
  </w:style>
  <w:style w:type="paragraph" w:customStyle="1" w:styleId="HeadingProcedure">
    <w:name w:val="Heading Procedure"/>
    <w:basedOn w:val="HeadingBase"/>
    <w:next w:val="Normal"/>
    <w:rsid w:val="005F5D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D94"/>
    <w:pPr>
      <w:spacing w:before="60" w:after="60"/>
    </w:pPr>
  </w:style>
  <w:style w:type="paragraph" w:styleId="ListContinue">
    <w:name w:val="List Continue"/>
    <w:basedOn w:val="List"/>
    <w:rsid w:val="005F5D94"/>
    <w:pPr>
      <w:ind w:firstLine="0"/>
    </w:pPr>
  </w:style>
  <w:style w:type="paragraph" w:customStyle="1" w:styleId="ListNote">
    <w:name w:val="List Note"/>
    <w:basedOn w:val="List"/>
    <w:rsid w:val="005F5D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D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D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D94"/>
    <w:rPr>
      <w:rFonts w:ascii="Courier New" w:hAnsi="Courier New"/>
    </w:rPr>
  </w:style>
  <w:style w:type="paragraph" w:customStyle="1" w:styleId="NoteBullet">
    <w:name w:val="Note Bullet"/>
    <w:basedOn w:val="Note"/>
    <w:rsid w:val="005F5D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D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D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D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D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5D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D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D94"/>
    <w:rPr>
      <w:b/>
      <w:smallCaps/>
    </w:rPr>
  </w:style>
  <w:style w:type="paragraph" w:customStyle="1" w:styleId="TableListNumber">
    <w:name w:val="Table List Number"/>
    <w:basedOn w:val="ListNumber"/>
    <w:rsid w:val="005F5D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D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D94"/>
    <w:pPr>
      <w:numPr>
        <w:numId w:val="7"/>
      </w:numPr>
    </w:pPr>
  </w:style>
  <w:style w:type="paragraph" w:customStyle="1" w:styleId="ListAlpha2">
    <w:name w:val="List Alpha 2"/>
    <w:basedOn w:val="List2"/>
    <w:rsid w:val="005F5D94"/>
    <w:pPr>
      <w:numPr>
        <w:numId w:val="6"/>
      </w:numPr>
    </w:pPr>
  </w:style>
  <w:style w:type="paragraph" w:styleId="List2">
    <w:name w:val="List 2"/>
    <w:basedOn w:val="BodyText"/>
    <w:rsid w:val="005F5D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D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D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D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D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D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5D94"/>
    <w:pPr>
      <w:numPr>
        <w:numId w:val="2"/>
      </w:numPr>
    </w:pPr>
  </w:style>
  <w:style w:type="paragraph" w:styleId="ListContinue2">
    <w:name w:val="List Continue 2"/>
    <w:basedOn w:val="List2"/>
    <w:rsid w:val="005F5D94"/>
    <w:pPr>
      <w:ind w:firstLine="0"/>
    </w:pPr>
  </w:style>
  <w:style w:type="paragraph" w:styleId="ListContinue3">
    <w:name w:val="List Continue 3"/>
    <w:basedOn w:val="List3"/>
    <w:rsid w:val="005F5D94"/>
    <w:pPr>
      <w:ind w:left="1021" w:firstLine="0"/>
    </w:pPr>
  </w:style>
  <w:style w:type="paragraph" w:styleId="ListContinue4">
    <w:name w:val="List Continue 4"/>
    <w:basedOn w:val="List4"/>
    <w:rsid w:val="005F5D94"/>
    <w:pPr>
      <w:ind w:firstLine="0"/>
    </w:pPr>
  </w:style>
  <w:style w:type="paragraph" w:styleId="ListContinue5">
    <w:name w:val="List Continue 5"/>
    <w:basedOn w:val="List5"/>
    <w:rsid w:val="005F5D94"/>
    <w:pPr>
      <w:ind w:firstLine="0"/>
    </w:pPr>
  </w:style>
  <w:style w:type="paragraph" w:styleId="ListNumber3">
    <w:name w:val="List Number 3"/>
    <w:basedOn w:val="List3"/>
    <w:rsid w:val="005F5D94"/>
    <w:pPr>
      <w:numPr>
        <w:numId w:val="3"/>
      </w:numPr>
    </w:pPr>
  </w:style>
  <w:style w:type="paragraph" w:styleId="ListNumber4">
    <w:name w:val="List Number 4"/>
    <w:basedOn w:val="List4"/>
    <w:rsid w:val="005F5D94"/>
    <w:pPr>
      <w:numPr>
        <w:numId w:val="4"/>
      </w:numPr>
    </w:pPr>
  </w:style>
  <w:style w:type="paragraph" w:styleId="ListNumber5">
    <w:name w:val="List Number 5"/>
    <w:basedOn w:val="List5"/>
    <w:rsid w:val="005F5D94"/>
    <w:pPr>
      <w:numPr>
        <w:numId w:val="5"/>
      </w:numPr>
    </w:pPr>
  </w:style>
  <w:style w:type="paragraph" w:styleId="BlockText">
    <w:name w:val="Block Text"/>
    <w:basedOn w:val="Normal"/>
    <w:rsid w:val="005F5D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D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D94"/>
    <w:rPr>
      <w:sz w:val="16"/>
      <w:vertAlign w:val="superscript"/>
    </w:rPr>
  </w:style>
  <w:style w:type="character" w:customStyle="1" w:styleId="Symbols">
    <w:name w:val="Symbols"/>
    <w:basedOn w:val="DefaultParagraphFont"/>
    <w:rsid w:val="005F5D94"/>
    <w:rPr>
      <w:rFonts w:ascii="Symbol" w:hAnsi="Symbol"/>
    </w:rPr>
  </w:style>
  <w:style w:type="character" w:customStyle="1" w:styleId="MenuOptions">
    <w:name w:val="Menu Options"/>
    <w:basedOn w:val="DefaultParagraphFont"/>
    <w:rsid w:val="005F5D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D94"/>
    <w:rPr>
      <w:b/>
    </w:rPr>
  </w:style>
  <w:style w:type="character" w:customStyle="1" w:styleId="Underlined">
    <w:name w:val="Underlined"/>
    <w:basedOn w:val="DefaultParagraphFont"/>
    <w:rsid w:val="005F5D94"/>
    <w:rPr>
      <w:u w:val="single"/>
    </w:rPr>
  </w:style>
  <w:style w:type="paragraph" w:customStyle="1" w:styleId="TableBodyTextRight">
    <w:name w:val="Table Body Text Right"/>
    <w:basedOn w:val="TableBodyText"/>
    <w:rsid w:val="005F5D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D94"/>
    <w:rPr>
      <w:sz w:val="18"/>
    </w:rPr>
  </w:style>
  <w:style w:type="paragraph" w:customStyle="1" w:styleId="BodySmallRight">
    <w:name w:val="Body Small Right"/>
    <w:basedOn w:val="BodyTextRight"/>
    <w:rsid w:val="005F5D94"/>
    <w:rPr>
      <w:sz w:val="18"/>
      <w:szCs w:val="18"/>
    </w:rPr>
  </w:style>
  <w:style w:type="paragraph" w:customStyle="1" w:styleId="MarginEdition">
    <w:name w:val="Margin Edition"/>
    <w:basedOn w:val="MarginNote"/>
    <w:rsid w:val="005F5D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D94"/>
    <w:rPr>
      <w:sz w:val="2"/>
      <w:szCs w:val="2"/>
    </w:rPr>
  </w:style>
  <w:style w:type="character" w:customStyle="1" w:styleId="Small">
    <w:name w:val="Small"/>
    <w:basedOn w:val="DefaultParagraphFont"/>
    <w:rsid w:val="005F5D94"/>
    <w:rPr>
      <w:sz w:val="16"/>
    </w:rPr>
  </w:style>
  <w:style w:type="paragraph" w:customStyle="1" w:styleId="WideTable">
    <w:name w:val="Wide Table"/>
    <w:basedOn w:val="Normal"/>
    <w:rsid w:val="005F5D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D94"/>
  </w:style>
  <w:style w:type="paragraph" w:styleId="Quote">
    <w:name w:val="Quote"/>
    <w:basedOn w:val="Heading1"/>
    <w:link w:val="QuoteChar"/>
    <w:qFormat/>
    <w:rsid w:val="005F5D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D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D94"/>
    <w:pPr>
      <w:pageBreakBefore/>
    </w:pPr>
  </w:style>
  <w:style w:type="paragraph" w:customStyle="1" w:styleId="Border">
    <w:name w:val="Border"/>
    <w:basedOn w:val="Normal"/>
    <w:qFormat/>
    <w:rsid w:val="005F5D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D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D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D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D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D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D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D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D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D94"/>
    <w:rPr>
      <w:u w:val="single"/>
    </w:rPr>
  </w:style>
  <w:style w:type="character" w:customStyle="1" w:styleId="BoldandItalics">
    <w:name w:val="Bold and Italics"/>
    <w:qFormat/>
    <w:rsid w:val="005F5D94"/>
    <w:rPr>
      <w:b/>
      <w:i/>
      <w:u w:val="none"/>
    </w:rPr>
  </w:style>
  <w:style w:type="paragraph" w:styleId="BalloonText">
    <w:name w:val="Balloon Text"/>
    <w:basedOn w:val="Normal"/>
    <w:link w:val="BalloonTextChar"/>
    <w:rsid w:val="005F5D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D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D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D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D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D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D94"/>
    <w:pPr>
      <w:spacing w:before="0" w:after="0"/>
    </w:pPr>
  </w:style>
  <w:style w:type="paragraph" w:customStyle="1" w:styleId="BodyTextBold">
    <w:name w:val="Body Text Bold"/>
    <w:basedOn w:val="BodyText"/>
    <w:qFormat/>
    <w:rsid w:val="005F5D94"/>
    <w:rPr>
      <w:b/>
    </w:rPr>
  </w:style>
  <w:style w:type="character" w:styleId="Hyperlink">
    <w:name w:val="Hyperlink"/>
    <w:basedOn w:val="DefaultParagraphFont"/>
    <w:uiPriority w:val="99"/>
    <w:unhideWhenUsed/>
    <w:rsid w:val="00FD7F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3659</Characters>
  <Application>Microsoft Office Word</Application>
  <DocSecurity>0</DocSecurity>
  <Lines>159</Lines>
  <Paragraphs>88</Paragraphs>
  <ScaleCrop>false</ScaleCrop>
  <Company>Author-it Software Corporation Ltd.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TLIO5005 Plan and manage security procedures for the enterprise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