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B71" w:rsidP="001A2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TLIO3004 Conduct control procedures for transferring explosives/dangerous/hazardous/high risk goods</w:t>
      </w:r>
      <w:r>
        <w:fldChar w:fldCharType="end"/>
      </w:r>
    </w:p>
    <w:p w:rsidR="001A2B71" w:rsidP="001A2B71">
      <w:pPr>
        <w:pStyle w:val="Version"/>
        <w:sectPr w:rsidSect="00A67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B4F" w:rsidP="00A67B4F">
      <w:pPr>
        <w:pStyle w:val="SuperHeading"/>
      </w:pPr>
      <w:r w:rsidRPr="00A67B4F">
        <w:t>TLIO3004 Conduct control procedures for transferring explosives/dangerous/hazardous/high risk goods</w:t>
      </w:r>
    </w:p>
    <w:p w:rsidR="00000000" w:rsidRPr="00A67B4F" w:rsidP="00A67B4F">
      <w:pPr>
        <w:pStyle w:val="Heading1"/>
      </w:pPr>
      <w:bookmarkStart w:id="1" w:name="O_846284"/>
      <w:bookmarkEnd w:id="1"/>
      <w:r w:rsidRPr="00A67B4F">
        <w:t>Modification History</w:t>
      </w:r>
    </w:p>
    <w:p w:rsidR="001A2B71" w:rsidP="001A2B71">
      <w:pPr>
        <w:pStyle w:val="BodyText"/>
      </w:pPr>
      <w:r w:rsidRPr="00A67B4F">
        <w:t>Release 1. This is the first release of this unit of competency in the TLI Transport and Logistics Training Package.</w:t>
      </w:r>
    </w:p>
    <w:p w:rsidR="00000000" w:rsidRPr="00A67B4F" w:rsidP="00A67B4F">
      <w:pPr>
        <w:pStyle w:val="Heading1"/>
      </w:pPr>
      <w:bookmarkStart w:id="2" w:name="O_846285"/>
      <w:bookmarkEnd w:id="2"/>
      <w:r w:rsidRPr="00A67B4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67B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4F" w:rsidP="00A67B4F">
            <w:pPr>
              <w:pStyle w:val="BodyText"/>
            </w:pPr>
            <w:r w:rsidRPr="00A67B4F">
              <w:t xml:space="preserve">This unit involves the skills and knowledge required to conduct safety and hazard control procedures for transferring explosives/dangerous/hazardous/high risk goods, in accordance with relevant state/territory regulations. </w:t>
            </w:r>
          </w:p>
          <w:p w:rsidR="00000000" w:rsidRPr="00A67B4F" w:rsidP="00A67B4F">
            <w:pPr>
              <w:pStyle w:val="BodyText"/>
            </w:pPr>
            <w:r w:rsidRPr="00A67B4F">
              <w:t xml:space="preserve">It </w:t>
            </w:r>
            <w:r w:rsidRPr="00A67B4F">
              <w:t>includes clarifying movements of explosives, hazardous or high risk goods; implementing safety and hazard control procedures for loading, unloading or goods movement activities; and reviewing and completing goods transfer operations.</w:t>
            </w:r>
          </w:p>
          <w:p w:rsidR="00000000" w:rsidRPr="00A67B4F" w:rsidP="00A67B4F">
            <w:pPr>
              <w:pStyle w:val="BodyText"/>
            </w:pPr>
            <w:r w:rsidRPr="00A67B4F">
              <w:t>Work is performed unde</w:t>
            </w:r>
            <w:r w:rsidRPr="00A67B4F">
              <w:t>r general supervision.</w:t>
            </w:r>
          </w:p>
          <w:p w:rsidR="00000000" w:rsidRPr="00A67B4F" w:rsidP="00A67B4F">
            <w:pPr>
              <w:pStyle w:val="BodyText"/>
            </w:pPr>
            <w:r w:rsidRPr="00A67B4F">
              <w:t>No licensing, legislative or certification requirements apply to this unit at the time of publication.</w:t>
            </w:r>
          </w:p>
        </w:tc>
      </w:tr>
    </w:tbl>
    <w:p w:rsidR="001A2B71" w:rsidP="00A67B4F">
      <w:pPr>
        <w:pStyle w:val="BodyText"/>
      </w:pPr>
    </w:p>
    <w:p w:rsidR="001A2B71" w:rsidP="00A67B4F">
      <w:pPr>
        <w:pStyle w:val="BodyText"/>
      </w:pPr>
    </w:p>
    <w:p w:rsidR="00000000" w:rsidRPr="00A67B4F" w:rsidP="00A67B4F">
      <w:pPr>
        <w:pStyle w:val="Heading1"/>
      </w:pPr>
      <w:bookmarkStart w:id="3" w:name="O_846286"/>
      <w:bookmarkEnd w:id="3"/>
      <w:r w:rsidRPr="00A67B4F">
        <w:t>Pre-requisite Unit</w:t>
      </w:r>
    </w:p>
    <w:p w:rsidR="001A2B71" w:rsidP="001A2B71">
      <w:pPr>
        <w:pStyle w:val="BodyText"/>
      </w:pPr>
      <w:r w:rsidRPr="00A67B4F">
        <w:t>Not applicable.</w:t>
      </w:r>
    </w:p>
    <w:p w:rsidR="00000000" w:rsidRPr="00A67B4F" w:rsidP="00A67B4F">
      <w:pPr>
        <w:pStyle w:val="Heading1"/>
      </w:pPr>
      <w:bookmarkStart w:id="4" w:name="O_846287"/>
      <w:bookmarkEnd w:id="4"/>
      <w:r w:rsidRPr="00A67B4F">
        <w:t>Competency Field</w:t>
      </w:r>
    </w:p>
    <w:p w:rsidR="001A2B71" w:rsidP="001A2B71">
      <w:pPr>
        <w:pStyle w:val="BodyText"/>
      </w:pPr>
      <w:r w:rsidRPr="00A67B4F">
        <w:t>O – Security</w:t>
      </w:r>
    </w:p>
    <w:p w:rsidR="00000000" w:rsidRPr="00A67B4F" w:rsidP="00A67B4F">
      <w:pPr>
        <w:pStyle w:val="Heading1"/>
      </w:pPr>
      <w:bookmarkStart w:id="5" w:name="O_846288"/>
      <w:bookmarkEnd w:id="5"/>
      <w:r w:rsidRPr="00A67B4F">
        <w:t>Unit Sect</w:t>
      </w:r>
      <w:r w:rsidRPr="00A67B4F">
        <w:t>or</w:t>
      </w:r>
    </w:p>
    <w:p w:rsidR="001A2B71" w:rsidP="001A2B71">
      <w:pPr>
        <w:pStyle w:val="BodyText"/>
      </w:pPr>
      <w:r w:rsidRPr="00A67B4F">
        <w:t>Not applicable.</w:t>
      </w:r>
    </w:p>
    <w:p w:rsidR="00000000" w:rsidRPr="00A67B4F" w:rsidP="00A67B4F">
      <w:pPr>
        <w:pStyle w:val="Heading1"/>
      </w:pPr>
      <w:bookmarkStart w:id="6" w:name="O_846289"/>
      <w:bookmarkEnd w:id="6"/>
      <w:r w:rsidRPr="00A67B4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4F" w:rsidP="00A67B4F">
            <w:pPr>
              <w:pStyle w:val="BodyText"/>
            </w:pPr>
            <w:r w:rsidRPr="00A67B4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rPr>
                <w:rStyle w:val="SpecialBold"/>
              </w:rPr>
              <w:t>PERFORMANCE CRITERIA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 xml:space="preserve">Elements describe the </w:t>
            </w:r>
            <w:r w:rsidRPr="00A67B4F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 xml:space="preserve">Performance criteria describe the performance needed to </w:t>
            </w:r>
            <w:r w:rsidRPr="00A67B4F">
              <w:t>demonstrate achievement of the element.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4F" w:rsidP="00A67B4F">
            <w:pPr>
              <w:pStyle w:val="BodyText"/>
            </w:pPr>
            <w:r w:rsidRPr="00A67B4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rPr>
                <w:rStyle w:val="SpecialBold"/>
              </w:rPr>
              <w:t>Clarify movements of explosives and dangerous, hazardous or high risk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Job hazards are identified and required action is taken to minimise, control or eliminate identified hazards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Schedule detai</w:t>
            </w:r>
            <w:r w:rsidRPr="00A67B4F">
              <w:t>ls, nature of risk, special precautions and procedures are clarified with line managers or supervisory staff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Information is collected/checked against workplace procedures and relevant regulatory framework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Activities requiring special approval</w:t>
            </w:r>
            <w:r w:rsidRPr="00A67B4F">
              <w:t>s or workplace procedure changes are identified and approvals are obtained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Safety and hazard control procedures are communicated to relevant parties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4F" w:rsidP="00A67B4F">
            <w:pPr>
              <w:pStyle w:val="BodyText"/>
            </w:pPr>
            <w:r w:rsidRPr="00A67B4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rPr>
                <w:rStyle w:val="SpecialBold"/>
              </w:rPr>
              <w:t>Implement safety and hazard control procedures for loading, unloading or goods movement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 xml:space="preserve">Transfer operations are conducted in accordance with relevant legislation and workplace procedures 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Advice is provided to relevant emergency respo</w:t>
            </w:r>
            <w:r w:rsidRPr="00A67B4F">
              <w:t>nse groups (internal and/or external) or other affected personnel or contractors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Procedures to control movement of equipment and personnel within goods movement area affected by risks are implemented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Safety and hazard control procedures are monitored and maintained and action is taken to modify procedures as required in accordance with scope of authority and workplace procedures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Goods are moved in accordance with relevant statutory regulations a</w:t>
            </w:r>
            <w:r w:rsidRPr="00A67B4F">
              <w:t>nd workplace procedures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4F" w:rsidP="00A67B4F">
            <w:pPr>
              <w:pStyle w:val="BodyText"/>
            </w:pPr>
            <w:r w:rsidRPr="00A67B4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rPr>
                <w:rStyle w:val="SpecialBold"/>
              </w:rPr>
              <w:t>Review and complete goods transfer operation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Completed activities are checked against operational plan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Documentation is completed in accordance with workplace procedures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 xml:space="preserve">Specialised equipment used for the </w:t>
            </w:r>
            <w:r w:rsidRPr="00A67B4F">
              <w:t>process is maintained and stored in accordance with workplace procedures</w:t>
            </w:r>
          </w:p>
        </w:tc>
      </w:tr>
      <w:tr w:rsidTr="001A2B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B4F">
            <w:pPr>
              <w:pStyle w:val="BodyText"/>
              <w:rPr>
                <w:lang w:val="en-NZ"/>
              </w:rPr>
            </w:pPr>
            <w:r w:rsidRPr="00A67B4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B4F" w:rsidP="00A67B4F">
            <w:pPr>
              <w:pStyle w:val="BodyText"/>
            </w:pPr>
            <w:r w:rsidRPr="00A67B4F">
              <w:t>Worksite is checked and returned to operational status</w:t>
            </w:r>
          </w:p>
        </w:tc>
      </w:tr>
    </w:tbl>
    <w:p w:rsidR="001A2B71" w:rsidP="00A67B4F">
      <w:pPr>
        <w:pStyle w:val="BodyText"/>
      </w:pPr>
    </w:p>
    <w:p w:rsidR="001A2B71" w:rsidP="00A67B4F">
      <w:pPr>
        <w:pStyle w:val="BodyText"/>
      </w:pPr>
    </w:p>
    <w:p w:rsidR="00000000" w:rsidRPr="00A67B4F" w:rsidP="00A67B4F">
      <w:pPr>
        <w:pStyle w:val="Heading1"/>
      </w:pPr>
      <w:bookmarkStart w:id="7" w:name="O_846290"/>
      <w:bookmarkEnd w:id="7"/>
      <w:r w:rsidRPr="00A67B4F">
        <w:t>Foundation Skills</w:t>
      </w:r>
    </w:p>
    <w:p w:rsidR="001A2B71" w:rsidP="001A2B71">
      <w:pPr>
        <w:pStyle w:val="BodyText"/>
      </w:pPr>
      <w:r w:rsidRPr="00A67B4F">
        <w:t>Foundation skills essential to performance are explicit in the performance criteria of this unit of competency.</w:t>
      </w:r>
    </w:p>
    <w:p w:rsidR="00000000" w:rsidRPr="00A67B4F" w:rsidP="00A67B4F">
      <w:pPr>
        <w:pStyle w:val="Heading1"/>
      </w:pPr>
      <w:bookmarkStart w:id="8" w:name="O_846291"/>
      <w:bookmarkEnd w:id="8"/>
      <w:r w:rsidRPr="00A67B4F">
        <w:t>Range of Conditions</w:t>
      </w:r>
    </w:p>
    <w:p w:rsidR="00000000" w:rsidRPr="00A67B4F" w:rsidP="001A2B71">
      <w:pPr>
        <w:pStyle w:val="BodyText"/>
      </w:pPr>
      <w:r w:rsidRPr="00A67B4F">
        <w:t>Range is restricted to essential operating conditions and any other variables essential to the work enviro</w:t>
      </w:r>
      <w:r w:rsidRPr="00A67B4F">
        <w:t>nment.</w:t>
      </w:r>
    </w:p>
    <w:p w:rsidR="001A2B71" w:rsidP="001A2B71">
      <w:pPr>
        <w:pStyle w:val="BodyText"/>
      </w:pPr>
      <w:r w:rsidRPr="00A67B4F">
        <w:t>Non-essential conditions can be found in the Companion Volume Implementation Guide.</w:t>
      </w:r>
    </w:p>
    <w:p w:rsidR="00000000" w:rsidRPr="00A67B4F" w:rsidP="00A67B4F">
      <w:pPr>
        <w:pStyle w:val="Heading1"/>
      </w:pPr>
      <w:bookmarkStart w:id="9" w:name="O_846292"/>
      <w:bookmarkEnd w:id="9"/>
      <w:r w:rsidRPr="00A67B4F">
        <w:t>Unit Mapping Information</w:t>
      </w:r>
    </w:p>
    <w:p w:rsidR="001A2B71" w:rsidP="001A2B71">
      <w:pPr>
        <w:pStyle w:val="BodyText"/>
      </w:pPr>
      <w:r w:rsidRPr="00A67B4F">
        <w:t>This unit replaces and is equivalent to TLIO3004A Conduct control procedures for transferring explosives and dangerous/haz</w:t>
      </w:r>
      <w:r w:rsidRPr="00A67B4F">
        <w:t>ardous/high risk goods.</w:t>
      </w:r>
    </w:p>
    <w:p w:rsidR="00000000" w:rsidRPr="00A67B4F" w:rsidP="00A67B4F">
      <w:pPr>
        <w:pStyle w:val="Heading1"/>
      </w:pPr>
      <w:bookmarkStart w:id="10" w:name="O_846299"/>
      <w:bookmarkEnd w:id="10"/>
      <w:r w:rsidRPr="00A67B4F">
        <w:t>Links</w:t>
      </w:r>
    </w:p>
    <w:p w:rsidR="00000000" w:rsidRPr="00A67B4F" w:rsidP="001A2B71">
      <w:pPr>
        <w:pStyle w:val="BodyText"/>
      </w:pPr>
      <w:r w:rsidRPr="00A67B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86EA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67B4F" w:rsidP="00A67B4F"/>
    <w:sectPr w:rsidSect="00A67B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4F" w:rsidRPr="001A2B71" w:rsidP="001A2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71" w:rsidP="00A67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B71" w:rsidP="00A67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2B71" w:rsidP="00A67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B4F" w:rsidRPr="001A2B71" w:rsidP="001A2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B71" w:rsidRPr="002D2AF8" w:rsidP="00A67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TLIO3004 Conduct control procedures for transferring explosives/dangerous/hazardous/high risk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1A2B71" w:rsidP="00A67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B4F"/>
  </w:style>
  <w:style w:type="character" w:customStyle="1" w:styleId="Heading1Char">
    <w:name w:val="Heading 1 Char"/>
    <w:basedOn w:val="DefaultParagraphFont"/>
    <w:link w:val="Heading1"/>
    <w:rsid w:val="00A67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B4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7B4F"/>
    <w:rPr>
      <w:b/>
      <w:spacing w:val="0"/>
    </w:rPr>
  </w:style>
  <w:style w:type="paragraph" w:customStyle="1" w:styleId="SuperHeading">
    <w:name w:val="SuperHeading"/>
    <w:basedOn w:val="Normal"/>
    <w:rsid w:val="00A67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7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7B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7B4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7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7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7B4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7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B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B4F"/>
    <w:rPr>
      <w:i/>
    </w:rPr>
  </w:style>
  <w:style w:type="paragraph" w:styleId="Caption">
    <w:name w:val="caption"/>
    <w:basedOn w:val="BodyText"/>
    <w:next w:val="Normal"/>
    <w:qFormat/>
    <w:rsid w:val="00A67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B4F"/>
  </w:style>
  <w:style w:type="paragraph" w:styleId="TableofFigures">
    <w:name w:val="table of figures"/>
    <w:basedOn w:val="Normal"/>
    <w:next w:val="Normal"/>
    <w:semiHidden/>
    <w:rsid w:val="00A67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B4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7B4F"/>
    <w:rPr>
      <w:rFonts w:ascii="Wingdings" w:hAnsi="Wingdings"/>
    </w:rPr>
  </w:style>
  <w:style w:type="paragraph" w:customStyle="1" w:styleId="TableHeading">
    <w:name w:val="Table Heading"/>
    <w:basedOn w:val="HeadingBase"/>
    <w:rsid w:val="00A67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7B4F"/>
    <w:rPr>
      <w:color w:val="0033CC"/>
      <w:u w:val="none"/>
    </w:rPr>
  </w:style>
  <w:style w:type="paragraph" w:customStyle="1" w:styleId="BodyTextRight">
    <w:name w:val="Body Text Right"/>
    <w:basedOn w:val="BodyText"/>
    <w:rsid w:val="00A67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B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B4F"/>
    <w:rPr>
      <w:sz w:val="32"/>
    </w:rPr>
  </w:style>
  <w:style w:type="paragraph" w:customStyle="1" w:styleId="HeadingProcedure">
    <w:name w:val="Heading Procedure"/>
    <w:basedOn w:val="HeadingBase"/>
    <w:next w:val="Normal"/>
    <w:rsid w:val="00A67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B4F"/>
    <w:pPr>
      <w:spacing w:before="60" w:after="60"/>
    </w:pPr>
  </w:style>
  <w:style w:type="paragraph" w:styleId="ListContinue">
    <w:name w:val="List Continue"/>
    <w:basedOn w:val="List"/>
    <w:rsid w:val="00A67B4F"/>
    <w:pPr>
      <w:ind w:firstLine="0"/>
    </w:pPr>
  </w:style>
  <w:style w:type="paragraph" w:customStyle="1" w:styleId="ListNote">
    <w:name w:val="List Note"/>
    <w:basedOn w:val="List"/>
    <w:rsid w:val="00A67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B4F"/>
    <w:rPr>
      <w:rFonts w:ascii="Courier New" w:hAnsi="Courier New"/>
    </w:rPr>
  </w:style>
  <w:style w:type="paragraph" w:customStyle="1" w:styleId="NoteBullet">
    <w:name w:val="Note Bullet"/>
    <w:basedOn w:val="Note"/>
    <w:rsid w:val="00A67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B4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7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B4F"/>
    <w:rPr>
      <w:b/>
      <w:smallCaps/>
    </w:rPr>
  </w:style>
  <w:style w:type="paragraph" w:customStyle="1" w:styleId="TableListNumber">
    <w:name w:val="Table List Number"/>
    <w:basedOn w:val="ListNumber"/>
    <w:rsid w:val="00A67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B4F"/>
    <w:pPr>
      <w:numPr>
        <w:numId w:val="7"/>
      </w:numPr>
    </w:pPr>
  </w:style>
  <w:style w:type="paragraph" w:customStyle="1" w:styleId="ListAlpha2">
    <w:name w:val="List Alpha 2"/>
    <w:basedOn w:val="List2"/>
    <w:rsid w:val="00A67B4F"/>
    <w:pPr>
      <w:numPr>
        <w:numId w:val="6"/>
      </w:numPr>
    </w:pPr>
  </w:style>
  <w:style w:type="paragraph" w:styleId="List2">
    <w:name w:val="List 2"/>
    <w:basedOn w:val="BodyText"/>
    <w:rsid w:val="00A67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B4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B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7B4F"/>
    <w:pPr>
      <w:numPr>
        <w:numId w:val="2"/>
      </w:numPr>
    </w:pPr>
  </w:style>
  <w:style w:type="paragraph" w:styleId="ListContinue2">
    <w:name w:val="List Continue 2"/>
    <w:basedOn w:val="List2"/>
    <w:rsid w:val="00A67B4F"/>
    <w:pPr>
      <w:ind w:firstLine="0"/>
    </w:pPr>
  </w:style>
  <w:style w:type="paragraph" w:styleId="ListContinue3">
    <w:name w:val="List Continue 3"/>
    <w:basedOn w:val="List3"/>
    <w:rsid w:val="00A67B4F"/>
    <w:pPr>
      <w:ind w:left="1021" w:firstLine="0"/>
    </w:pPr>
  </w:style>
  <w:style w:type="paragraph" w:styleId="ListContinue4">
    <w:name w:val="List Continue 4"/>
    <w:basedOn w:val="List4"/>
    <w:rsid w:val="00A67B4F"/>
    <w:pPr>
      <w:ind w:firstLine="0"/>
    </w:pPr>
  </w:style>
  <w:style w:type="paragraph" w:styleId="ListContinue5">
    <w:name w:val="List Continue 5"/>
    <w:basedOn w:val="List5"/>
    <w:rsid w:val="00A67B4F"/>
    <w:pPr>
      <w:ind w:firstLine="0"/>
    </w:pPr>
  </w:style>
  <w:style w:type="paragraph" w:styleId="ListNumber3">
    <w:name w:val="List Number 3"/>
    <w:basedOn w:val="List3"/>
    <w:rsid w:val="00A67B4F"/>
    <w:pPr>
      <w:numPr>
        <w:numId w:val="3"/>
      </w:numPr>
    </w:pPr>
  </w:style>
  <w:style w:type="paragraph" w:styleId="ListNumber4">
    <w:name w:val="List Number 4"/>
    <w:basedOn w:val="List4"/>
    <w:rsid w:val="00A67B4F"/>
    <w:pPr>
      <w:numPr>
        <w:numId w:val="4"/>
      </w:numPr>
    </w:pPr>
  </w:style>
  <w:style w:type="paragraph" w:styleId="ListNumber5">
    <w:name w:val="List Number 5"/>
    <w:basedOn w:val="List5"/>
    <w:rsid w:val="00A67B4F"/>
    <w:pPr>
      <w:numPr>
        <w:numId w:val="5"/>
      </w:numPr>
    </w:pPr>
  </w:style>
  <w:style w:type="paragraph" w:styleId="BlockText">
    <w:name w:val="Block Text"/>
    <w:basedOn w:val="Normal"/>
    <w:rsid w:val="00A67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B4F"/>
    <w:rPr>
      <w:sz w:val="16"/>
      <w:vertAlign w:val="superscript"/>
    </w:rPr>
  </w:style>
  <w:style w:type="character" w:customStyle="1" w:styleId="Symbols">
    <w:name w:val="Symbols"/>
    <w:basedOn w:val="DefaultParagraphFont"/>
    <w:rsid w:val="00A67B4F"/>
    <w:rPr>
      <w:rFonts w:ascii="Symbol" w:hAnsi="Symbol"/>
    </w:rPr>
  </w:style>
  <w:style w:type="character" w:customStyle="1" w:styleId="MenuOptions">
    <w:name w:val="Menu Options"/>
    <w:basedOn w:val="DefaultParagraphFont"/>
    <w:rsid w:val="00A67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B4F"/>
    <w:rPr>
      <w:b/>
    </w:rPr>
  </w:style>
  <w:style w:type="character" w:customStyle="1" w:styleId="Underlined">
    <w:name w:val="Underlined"/>
    <w:basedOn w:val="DefaultParagraphFont"/>
    <w:rsid w:val="00A67B4F"/>
    <w:rPr>
      <w:u w:val="single"/>
    </w:rPr>
  </w:style>
  <w:style w:type="paragraph" w:customStyle="1" w:styleId="TableBodyTextRight">
    <w:name w:val="Table Body Text Right"/>
    <w:basedOn w:val="TableBodyText"/>
    <w:rsid w:val="00A67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B4F"/>
    <w:rPr>
      <w:sz w:val="18"/>
    </w:rPr>
  </w:style>
  <w:style w:type="paragraph" w:customStyle="1" w:styleId="BodySmallRight">
    <w:name w:val="Body Small Right"/>
    <w:basedOn w:val="BodyTextRight"/>
    <w:rsid w:val="00A67B4F"/>
    <w:rPr>
      <w:sz w:val="18"/>
      <w:szCs w:val="18"/>
    </w:rPr>
  </w:style>
  <w:style w:type="paragraph" w:customStyle="1" w:styleId="MarginEdition">
    <w:name w:val="Margin Edition"/>
    <w:basedOn w:val="MarginNote"/>
    <w:rsid w:val="00A67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B4F"/>
    <w:rPr>
      <w:sz w:val="2"/>
      <w:szCs w:val="2"/>
    </w:rPr>
  </w:style>
  <w:style w:type="character" w:customStyle="1" w:styleId="Small">
    <w:name w:val="Small"/>
    <w:basedOn w:val="DefaultParagraphFont"/>
    <w:rsid w:val="00A67B4F"/>
    <w:rPr>
      <w:sz w:val="16"/>
    </w:rPr>
  </w:style>
  <w:style w:type="paragraph" w:customStyle="1" w:styleId="WideTable">
    <w:name w:val="Wide Table"/>
    <w:basedOn w:val="Normal"/>
    <w:rsid w:val="00A67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B4F"/>
  </w:style>
  <w:style w:type="paragraph" w:styleId="Quote">
    <w:name w:val="Quote"/>
    <w:basedOn w:val="Heading1"/>
    <w:link w:val="QuoteChar"/>
    <w:qFormat/>
    <w:rsid w:val="00A67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B4F"/>
    <w:pPr>
      <w:pageBreakBefore/>
    </w:pPr>
  </w:style>
  <w:style w:type="paragraph" w:customStyle="1" w:styleId="Border">
    <w:name w:val="Border"/>
    <w:basedOn w:val="Normal"/>
    <w:qFormat/>
    <w:rsid w:val="00A67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B4F"/>
    <w:rPr>
      <w:u w:val="single"/>
    </w:rPr>
  </w:style>
  <w:style w:type="character" w:customStyle="1" w:styleId="BoldandItalics">
    <w:name w:val="Bold and Italics"/>
    <w:qFormat/>
    <w:rsid w:val="00A67B4F"/>
    <w:rPr>
      <w:b/>
      <w:i/>
      <w:u w:val="none"/>
    </w:rPr>
  </w:style>
  <w:style w:type="paragraph" w:styleId="BalloonText">
    <w:name w:val="Balloon Text"/>
    <w:basedOn w:val="Normal"/>
    <w:link w:val="BalloonTextChar"/>
    <w:rsid w:val="00A67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B4F"/>
    <w:pPr>
      <w:spacing w:before="0" w:after="0"/>
    </w:pPr>
  </w:style>
  <w:style w:type="paragraph" w:customStyle="1" w:styleId="BodyTextBold">
    <w:name w:val="Body Text Bold"/>
    <w:basedOn w:val="BodyText"/>
    <w:qFormat/>
    <w:rsid w:val="00A67B4F"/>
    <w:rPr>
      <w:b/>
    </w:rPr>
  </w:style>
  <w:style w:type="character" w:styleId="Hyperlink">
    <w:name w:val="Hyperlink"/>
    <w:basedOn w:val="DefaultParagraphFont"/>
    <w:uiPriority w:val="99"/>
    <w:unhideWhenUsed/>
    <w:rsid w:val="001A2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502</Words>
  <Characters>3350</Characters>
  <Application>Microsoft Office Word</Application>
  <DocSecurity>0</DocSecurity>
  <Lines>152</Lines>
  <Paragraphs>77</Paragraphs>
  <ScaleCrop>false</ScaleCrop>
  <Company>Author-it Software Corporation Ltd.</Company>
  <LinksUpToDate>false</LinksUpToDate>
  <CharactersWithSpaces>3775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TLIO3004 Conduct control procedures for transferring explosives/dangerous/hazardous/high risk goods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2021-04-12T02:12:00Z</dcterms:created>
  <dcterms:modified xsi:type="dcterms:W3CDTF">2021-04-12T02:13:00Z</dcterms:modified>
</cp:coreProperties>
</file>