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E5D" w:rsidP="005B4E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TLIO0004 Maintain security of railway property and revenue</w:t>
      </w:r>
      <w:r>
        <w:fldChar w:fldCharType="end"/>
      </w:r>
    </w:p>
    <w:p w:rsidR="005B4E5D" w:rsidP="005B4E5D">
      <w:pPr>
        <w:pStyle w:val="Version"/>
        <w:sectPr w:rsidSect="008674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484" w:rsidP="00867484">
      <w:pPr>
        <w:pStyle w:val="SuperHeading"/>
      </w:pPr>
      <w:r w:rsidRPr="00867484">
        <w:t>TLIO0004 Maintain security of railway property and revenue</w:t>
      </w:r>
    </w:p>
    <w:p w:rsidR="00000000" w:rsidRPr="00867484" w:rsidP="00867484">
      <w:pPr>
        <w:pStyle w:val="Heading1"/>
      </w:pPr>
      <w:bookmarkStart w:id="1" w:name="O_1217989"/>
      <w:bookmarkEnd w:id="1"/>
      <w:r w:rsidRPr="008674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rPr>
                <w:rStyle w:val="SpecialBold"/>
              </w:rPr>
              <w:t>Release 1</w:t>
            </w:r>
            <w:r w:rsidRPr="00867484">
              <w:t>. This is the first release of this unit of competency in the TLI Transport and Logistics Training Package.</w:t>
            </w:r>
          </w:p>
        </w:tc>
      </w:tr>
    </w:tbl>
    <w:p w:rsidR="005B4E5D" w:rsidP="00867484">
      <w:pPr>
        <w:pStyle w:val="NoPaddingFontSize1"/>
      </w:pPr>
    </w:p>
    <w:p w:rsidR="005B4E5D" w:rsidP="00867484">
      <w:pPr>
        <w:pStyle w:val="NoPaddingFontSize1"/>
      </w:pPr>
    </w:p>
    <w:p w:rsidR="00000000" w:rsidRPr="00867484" w:rsidP="00867484">
      <w:pPr>
        <w:pStyle w:val="Heading1"/>
      </w:pPr>
      <w:bookmarkStart w:id="2" w:name="O_1217990"/>
      <w:bookmarkEnd w:id="2"/>
      <w:r w:rsidRPr="0086748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t>This unit involves the skills and knowledge required to maintain t</w:t>
            </w:r>
            <w:r w:rsidRPr="00867484">
              <w:t>he security of railway property and revenue in accordance with regulatory and workplace requirements.</w:t>
            </w:r>
          </w:p>
          <w:p w:rsidR="00000000" w:rsidRPr="00867484" w:rsidP="00867484">
            <w:pPr>
              <w:pStyle w:val="BodyText"/>
            </w:pPr>
            <w:r w:rsidRPr="00867484">
              <w:t>It includes monitoring and maintaining security of railway property, securing revenue and securing railway property.</w:t>
            </w:r>
          </w:p>
          <w:p w:rsidR="00000000" w:rsidRPr="00867484" w:rsidP="00867484">
            <w:pPr>
              <w:pStyle w:val="BodyText"/>
            </w:pPr>
            <w:r w:rsidRPr="00867484">
              <w:t>Work is performed under some supervis</w:t>
            </w:r>
            <w:r w:rsidRPr="00867484">
              <w:t>ion, generally within a team environment.</w:t>
            </w:r>
          </w:p>
          <w:p w:rsidR="00000000" w:rsidRPr="00867484" w:rsidP="00867484">
            <w:pPr>
              <w:pStyle w:val="BodyText"/>
            </w:pPr>
            <w:r w:rsidRPr="00867484">
              <w:t>Work involves the application of regulatory requirements and workplace procedures when maintaining the security of railway property and revenue, as part of workplace activities in the transport and allied industrie</w:t>
            </w:r>
            <w:r w:rsidRPr="00867484">
              <w:t>s.</w:t>
            </w:r>
          </w:p>
          <w:p w:rsidR="00000000" w:rsidRPr="00867484" w:rsidP="00867484">
            <w:pPr>
              <w:pStyle w:val="BodyText"/>
            </w:pPr>
            <w:r w:rsidRPr="00867484">
              <w:t>No licensing, legislative or certification requirements apply to this unit at the time of publication.</w:t>
            </w:r>
          </w:p>
        </w:tc>
      </w:tr>
    </w:tbl>
    <w:p w:rsidR="005B4E5D" w:rsidP="00867484">
      <w:pPr>
        <w:pStyle w:val="NoPaddingFontSize1"/>
      </w:pPr>
    </w:p>
    <w:p w:rsidR="005B4E5D" w:rsidP="00867484">
      <w:pPr>
        <w:pStyle w:val="NoPaddingFontSize1"/>
      </w:pPr>
    </w:p>
    <w:p w:rsidR="00000000" w:rsidRPr="00867484" w:rsidP="00867484">
      <w:pPr>
        <w:pStyle w:val="Heading1"/>
      </w:pPr>
      <w:bookmarkStart w:id="3" w:name="O_1217991"/>
      <w:bookmarkEnd w:id="3"/>
      <w:r w:rsidRPr="0086748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t>Not Applicable</w:t>
            </w:r>
          </w:p>
        </w:tc>
      </w:tr>
    </w:tbl>
    <w:p w:rsidR="005B4E5D" w:rsidP="00867484">
      <w:pPr>
        <w:pStyle w:val="NoPaddingFontSize1"/>
      </w:pPr>
    </w:p>
    <w:p w:rsidR="005B4E5D" w:rsidP="00867484">
      <w:pPr>
        <w:pStyle w:val="NoPaddingFontSize1"/>
      </w:pPr>
    </w:p>
    <w:p w:rsidR="00000000" w:rsidRPr="00867484" w:rsidP="00867484">
      <w:pPr>
        <w:pStyle w:val="Heading1"/>
      </w:pPr>
      <w:bookmarkStart w:id="4" w:name="O_1217992"/>
      <w:bookmarkEnd w:id="4"/>
      <w:r w:rsidRPr="0086748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t>Not applicable.</w:t>
            </w:r>
          </w:p>
        </w:tc>
      </w:tr>
    </w:tbl>
    <w:p w:rsidR="005B4E5D" w:rsidP="00867484">
      <w:pPr>
        <w:pStyle w:val="NoPaddingFontSize1"/>
      </w:pPr>
    </w:p>
    <w:p w:rsidR="005B4E5D" w:rsidP="00867484">
      <w:pPr>
        <w:pStyle w:val="NoPaddingFontSize1"/>
      </w:pPr>
    </w:p>
    <w:p w:rsidR="00000000" w:rsidRPr="00867484" w:rsidP="00867484">
      <w:pPr>
        <w:pStyle w:val="Heading1"/>
      </w:pPr>
      <w:bookmarkStart w:id="5" w:name="O_1217993"/>
      <w:bookmarkEnd w:id="5"/>
      <w:r w:rsidRPr="0086748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t>Rail sector.</w:t>
            </w:r>
          </w:p>
        </w:tc>
      </w:tr>
    </w:tbl>
    <w:p w:rsidR="005B4E5D" w:rsidP="00867484">
      <w:pPr>
        <w:pStyle w:val="NoPaddingFontSize1"/>
      </w:pPr>
    </w:p>
    <w:p w:rsidR="005B4E5D" w:rsidP="00867484">
      <w:pPr>
        <w:pStyle w:val="NoPaddingFontSize1"/>
      </w:pPr>
    </w:p>
    <w:p w:rsidR="00000000" w:rsidRPr="00867484" w:rsidP="00867484">
      <w:pPr>
        <w:pStyle w:val="Heading1"/>
      </w:pPr>
      <w:bookmarkStart w:id="6" w:name="O_1217994"/>
      <w:bookmarkEnd w:id="6"/>
      <w:r w:rsidRPr="00867484">
        <w:t>Elements and Performance Criteria</w:t>
      </w:r>
    </w:p>
    <w:p w:rsidR="00000000" w:rsidRPr="00867484" w:rsidP="00867484">
      <w:pPr>
        <w:pStyle w:val="NoPaddingFontSize1"/>
      </w:pPr>
    </w:p>
    <w:tbl>
      <w:tblPr>
        <w:tblW w:w="958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"/>
        <w:gridCol w:w="2205"/>
        <w:gridCol w:w="21"/>
        <w:gridCol w:w="495"/>
        <w:gridCol w:w="6591"/>
        <w:gridCol w:w="84"/>
      </w:tblGrid>
      <w:tr w:rsidTr="00867484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4" w:type="dxa"/>
        </w:trPr>
        <w:tc>
          <w:tcPr>
            <w:tcW w:w="2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t>Elements describe the essential outcomes.</w:t>
            </w:r>
          </w:p>
        </w:tc>
        <w:tc>
          <w:tcPr>
            <w:tcW w:w="71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t>Performance criteria describe the performance needed to demonstrate achievement of the element.</w:t>
            </w:r>
          </w:p>
        </w:tc>
      </w:tr>
      <w:tr w:rsidTr="00867484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rPr>
                <w:rStyle w:val="SpecialBold"/>
              </w:rPr>
              <w:t>1</w:t>
            </w:r>
          </w:p>
        </w:tc>
        <w:tc>
          <w:tcPr>
            <w:tcW w:w="222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rPr>
                <w:rStyle w:val="SpecialBold"/>
              </w:rPr>
              <w:t xml:space="preserve">Monitor and maintain the security of railway </w:t>
            </w:r>
            <w:r w:rsidRPr="00867484">
              <w:rPr>
                <w:rStyle w:val="SpecialBold"/>
              </w:rPr>
              <w:t>property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rPr>
                <w:rStyle w:val="SpecialBold"/>
              </w:rPr>
              <w:t>1.1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t xml:space="preserve">Workplace security procedures are identified and followed </w:t>
            </w:r>
          </w:p>
        </w:tc>
      </w:tr>
      <w:tr w:rsidTr="00867484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>
            <w:pPr>
              <w:pStyle w:val="BodyText"/>
              <w:keepLines w:val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rPr>
                <w:rStyle w:val="SpecialBold"/>
              </w:rPr>
              <w:t>1.2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t>Team members are informed of workplace security procedures</w:t>
            </w:r>
          </w:p>
        </w:tc>
      </w:tr>
      <w:tr w:rsidTr="00867484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>
            <w:pPr>
              <w:pStyle w:val="BodyText"/>
              <w:keepLines w:val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rPr>
                <w:rStyle w:val="SpecialBold"/>
              </w:rPr>
              <w:t>1.3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t>Team members are provided with feedback about implementing security procedures</w:t>
            </w:r>
          </w:p>
        </w:tc>
      </w:tr>
      <w:tr w:rsidTr="00867484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>
            <w:pPr>
              <w:pStyle w:val="BodyText"/>
              <w:keepLines w:val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rPr>
                <w:rStyle w:val="SpecialBold"/>
              </w:rPr>
              <w:t>1.4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t>Hazards are identified, risks are assessed and control measures are implemented</w:t>
            </w:r>
          </w:p>
        </w:tc>
      </w:tr>
      <w:tr w:rsidTr="00867484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>
            <w:pPr>
              <w:pStyle w:val="BodyText"/>
              <w:keepLines w:val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rPr>
                <w:rStyle w:val="SpecialBold"/>
              </w:rPr>
              <w:t>1.5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t>Security of railway property is monitored and situations, behaviour or other eviden</w:t>
            </w:r>
            <w:r w:rsidRPr="00867484">
              <w:t>ce indicating a possible breach of security are recorded and reported in accordance with workplace procedures and relevant regulatory requirements</w:t>
            </w:r>
          </w:p>
        </w:tc>
      </w:tr>
      <w:tr w:rsidTr="00867484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>
            <w:pPr>
              <w:pStyle w:val="BodyText"/>
              <w:keepLines w:val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rPr>
                <w:rStyle w:val="SpecialBold"/>
              </w:rPr>
              <w:t>1.6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t xml:space="preserve">Matters that may potentially affect railway security are reported in accordance with workplace policy </w:t>
            </w:r>
            <w:r w:rsidRPr="00867484">
              <w:t xml:space="preserve">and procedures </w:t>
            </w:r>
          </w:p>
        </w:tc>
      </w:tr>
      <w:tr w:rsidTr="00867484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rPr>
                <w:rStyle w:val="SpecialBold"/>
              </w:rPr>
              <w:t>2</w:t>
            </w:r>
          </w:p>
        </w:tc>
        <w:tc>
          <w:tcPr>
            <w:tcW w:w="222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rPr>
                <w:rStyle w:val="SpecialBold"/>
              </w:rPr>
              <w:t>Secure revenue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rPr>
                <w:rStyle w:val="SpecialBold"/>
              </w:rPr>
              <w:t>2.1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t>Reconciliation procedures are followed, and full and correct documentation is completed and processed</w:t>
            </w:r>
          </w:p>
        </w:tc>
      </w:tr>
      <w:tr w:rsidTr="00867484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>
            <w:pPr>
              <w:pStyle w:val="BodyText"/>
              <w:keepLines w:val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rPr>
                <w:rStyle w:val="SpecialBold"/>
              </w:rPr>
              <w:t>2.2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t>Legal and regulatory requirements for stock and revenue handling are followed</w:t>
            </w:r>
          </w:p>
        </w:tc>
      </w:tr>
      <w:tr w:rsidTr="00867484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>
            <w:pPr>
              <w:pStyle w:val="BodyText"/>
              <w:keepLines w:val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rPr>
                <w:rStyle w:val="SpecialBold"/>
              </w:rPr>
              <w:t>2.3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t xml:space="preserve">Security of point-of-sale and payment device and keys is maintained in accordance with workplace procedures </w:t>
            </w:r>
          </w:p>
        </w:tc>
      </w:tr>
      <w:tr w:rsidTr="00867484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rPr>
                <w:rStyle w:val="SpecialBold"/>
              </w:rPr>
              <w:t>3</w:t>
            </w:r>
          </w:p>
        </w:tc>
        <w:tc>
          <w:tcPr>
            <w:tcW w:w="222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rPr>
                <w:rStyle w:val="SpecialBold"/>
              </w:rPr>
              <w:t>Secure railway property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rPr>
                <w:rStyle w:val="SpecialBold"/>
              </w:rPr>
              <w:t>3.1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t>All moveable items are identified and secured in accordance with workplace asset security and management procedures</w:t>
            </w:r>
          </w:p>
        </w:tc>
      </w:tr>
      <w:tr w:rsidTr="00867484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>
            <w:pPr>
              <w:pStyle w:val="BodyText"/>
              <w:keepLines w:val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rPr>
                <w:rStyle w:val="SpecialBold"/>
              </w:rPr>
              <w:t>3.2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t>Risks of theft are identified and measures are taken to minimise theft of easily stolen railway property in accordance with workplace procedures</w:t>
            </w:r>
          </w:p>
        </w:tc>
      </w:tr>
      <w:tr w:rsidTr="00867484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>
            <w:pPr>
              <w:pStyle w:val="BodyText"/>
              <w:keepLines w:val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84">
            <w:pPr>
              <w:pStyle w:val="BodyText"/>
              <w:rPr>
                <w:lang w:val="en-NZ"/>
              </w:rPr>
            </w:pPr>
            <w:r w:rsidRPr="00867484">
              <w:rPr>
                <w:rStyle w:val="SpecialBold"/>
              </w:rPr>
              <w:t>3.3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t>Records of actions taken to secure railway property are maintained in accordance with workplace requirements</w:t>
            </w:r>
          </w:p>
        </w:tc>
      </w:tr>
    </w:tbl>
    <w:p w:rsidR="005B4E5D" w:rsidP="00867484">
      <w:pPr>
        <w:pStyle w:val="NoPaddingFontSize1"/>
      </w:pPr>
    </w:p>
    <w:p w:rsidR="005B4E5D" w:rsidP="00867484">
      <w:pPr>
        <w:pStyle w:val="NoPaddingFontSize1"/>
      </w:pPr>
    </w:p>
    <w:p w:rsidR="00000000" w:rsidRPr="00867484" w:rsidP="00867484">
      <w:pPr>
        <w:pStyle w:val="Heading1"/>
      </w:pPr>
      <w:bookmarkStart w:id="7" w:name="O_1217995"/>
      <w:bookmarkEnd w:id="7"/>
      <w:r w:rsidRPr="0086748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t>Foundation skills essential to performance are explicit in the performance criteria of this unit of competency.</w:t>
            </w:r>
          </w:p>
        </w:tc>
      </w:tr>
    </w:tbl>
    <w:p w:rsidR="005B4E5D" w:rsidP="00867484">
      <w:pPr>
        <w:pStyle w:val="NoPaddingFontSize1"/>
      </w:pPr>
    </w:p>
    <w:p w:rsidR="005B4E5D" w:rsidP="00867484">
      <w:pPr>
        <w:pStyle w:val="NoPaddingFontSize1"/>
      </w:pPr>
    </w:p>
    <w:p w:rsidR="00000000" w:rsidRPr="00867484" w:rsidP="00867484">
      <w:pPr>
        <w:pStyle w:val="Heading1"/>
      </w:pPr>
      <w:bookmarkStart w:id="8" w:name="O_1217996"/>
      <w:bookmarkEnd w:id="8"/>
      <w:r w:rsidRPr="0086748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t>Range is restricted to essential operating conditions and any other variables essential to the work en</w:t>
            </w:r>
            <w:r w:rsidRPr="00867484">
              <w:t>vironment.</w:t>
            </w:r>
          </w:p>
          <w:p w:rsidR="00000000" w:rsidRPr="00867484" w:rsidP="00867484">
            <w:pPr>
              <w:pStyle w:val="BodyText"/>
            </w:pPr>
            <w:r w:rsidRPr="00867484">
              <w:t>Non-essential conditions can be found in the TLI Transport and Logistics Training Package Companion Volume Implementation Guide.</w:t>
            </w:r>
          </w:p>
        </w:tc>
      </w:tr>
    </w:tbl>
    <w:p w:rsidR="005B4E5D" w:rsidP="00867484">
      <w:pPr>
        <w:pStyle w:val="NoPaddingFontSize1"/>
      </w:pPr>
    </w:p>
    <w:p w:rsidR="005B4E5D" w:rsidP="00867484">
      <w:pPr>
        <w:pStyle w:val="NoPaddingFontSize1"/>
      </w:pPr>
    </w:p>
    <w:p w:rsidR="00000000" w:rsidRPr="00867484" w:rsidP="00867484">
      <w:pPr>
        <w:pStyle w:val="Heading1"/>
      </w:pPr>
      <w:bookmarkStart w:id="9" w:name="O_1217997"/>
      <w:bookmarkEnd w:id="9"/>
      <w:r w:rsidRPr="0086748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84" w:rsidP="00867484">
            <w:pPr>
              <w:pStyle w:val="BodyText"/>
            </w:pPr>
            <w:r w:rsidRPr="00867484">
              <w:t>This unit replaces and is equivalent to TLIO3015 Maintain security of</w:t>
            </w:r>
            <w:r w:rsidRPr="00867484">
              <w:t xml:space="preserve"> railway property and revenue.</w:t>
            </w:r>
          </w:p>
        </w:tc>
      </w:tr>
    </w:tbl>
    <w:p w:rsidR="005B4E5D" w:rsidP="00867484">
      <w:pPr>
        <w:pStyle w:val="NoPaddingFontSize1"/>
      </w:pPr>
    </w:p>
    <w:p w:rsidR="005B4E5D" w:rsidP="00867484">
      <w:pPr>
        <w:pStyle w:val="NoPaddingFontSize1"/>
      </w:pPr>
    </w:p>
    <w:p w:rsidR="00000000" w:rsidRPr="00867484" w:rsidP="00867484">
      <w:pPr>
        <w:pStyle w:val="Heading1"/>
      </w:pPr>
      <w:bookmarkStart w:id="10" w:name="O_1218004"/>
      <w:bookmarkEnd w:id="10"/>
      <w:r w:rsidRPr="00867484">
        <w:t>Links</w:t>
      </w:r>
    </w:p>
    <w:p w:rsidR="00000000" w:rsidRPr="00867484" w:rsidP="005B4E5D">
      <w:pPr>
        <w:pStyle w:val="BodyText"/>
      </w:pPr>
      <w:r w:rsidRPr="00867484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820B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67484" w:rsidP="00867484"/>
    <w:sectPr w:rsidSect="008674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84" w:rsidRPr="005B4E5D" w:rsidP="005B4E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5D" w:rsidP="00867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4E5D" w:rsidP="00867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B4E5D" w:rsidP="008674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484" w:rsidRPr="005B4E5D" w:rsidP="005B4E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5D" w:rsidRPr="002D2AF8" w:rsidP="00867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TLIO0004 Maintain security of railway property and revenue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B4E5D" w:rsidP="008674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4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4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4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4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4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4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4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4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4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4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4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484"/>
  </w:style>
  <w:style w:type="character" w:customStyle="1" w:styleId="Heading1Char">
    <w:name w:val="Heading 1 Char"/>
    <w:basedOn w:val="DefaultParagraphFont"/>
    <w:link w:val="Heading1"/>
    <w:rsid w:val="008674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4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4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7484"/>
    <w:rPr>
      <w:b/>
      <w:spacing w:val="0"/>
    </w:rPr>
  </w:style>
  <w:style w:type="paragraph" w:customStyle="1" w:styleId="SuperHeading">
    <w:name w:val="SuperHeading"/>
    <w:basedOn w:val="Normal"/>
    <w:rsid w:val="008674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4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74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4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4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4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4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4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4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4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4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4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4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4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4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4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4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74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74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4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4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4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74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74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4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4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4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4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4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4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4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4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7484"/>
    <w:rPr>
      <w:i/>
    </w:rPr>
  </w:style>
  <w:style w:type="paragraph" w:styleId="Caption">
    <w:name w:val="caption"/>
    <w:basedOn w:val="BodyText"/>
    <w:next w:val="Normal"/>
    <w:qFormat/>
    <w:rsid w:val="008674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4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4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484"/>
  </w:style>
  <w:style w:type="paragraph" w:styleId="TableofFigures">
    <w:name w:val="table of figures"/>
    <w:basedOn w:val="Normal"/>
    <w:next w:val="Normal"/>
    <w:semiHidden/>
    <w:rsid w:val="008674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4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7484"/>
    <w:rPr>
      <w:rFonts w:ascii="Wingdings" w:hAnsi="Wingdings"/>
    </w:rPr>
  </w:style>
  <w:style w:type="paragraph" w:customStyle="1" w:styleId="TableHeading">
    <w:name w:val="Table Heading"/>
    <w:basedOn w:val="HeadingBase"/>
    <w:rsid w:val="008674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484"/>
    <w:rPr>
      <w:color w:val="0033CC"/>
      <w:u w:val="none"/>
    </w:rPr>
  </w:style>
  <w:style w:type="paragraph" w:customStyle="1" w:styleId="BodyTextRight">
    <w:name w:val="Body Text Right"/>
    <w:basedOn w:val="BodyText"/>
    <w:rsid w:val="008674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4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4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4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4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4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484"/>
    <w:rPr>
      <w:sz w:val="32"/>
    </w:rPr>
  </w:style>
  <w:style w:type="paragraph" w:customStyle="1" w:styleId="HeadingProcedure">
    <w:name w:val="Heading Procedure"/>
    <w:basedOn w:val="HeadingBase"/>
    <w:next w:val="Normal"/>
    <w:rsid w:val="008674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484"/>
    <w:pPr>
      <w:spacing w:before="60" w:after="60"/>
    </w:pPr>
  </w:style>
  <w:style w:type="paragraph" w:styleId="ListContinue">
    <w:name w:val="List Continue"/>
    <w:basedOn w:val="List"/>
    <w:rsid w:val="00867484"/>
    <w:pPr>
      <w:ind w:firstLine="0"/>
    </w:pPr>
  </w:style>
  <w:style w:type="paragraph" w:customStyle="1" w:styleId="ListNote">
    <w:name w:val="List Note"/>
    <w:basedOn w:val="List"/>
    <w:rsid w:val="008674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4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4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484"/>
    <w:rPr>
      <w:rFonts w:ascii="Courier New" w:hAnsi="Courier New"/>
    </w:rPr>
  </w:style>
  <w:style w:type="paragraph" w:customStyle="1" w:styleId="NoteBullet">
    <w:name w:val="Note Bullet"/>
    <w:basedOn w:val="Note"/>
    <w:rsid w:val="008674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4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4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4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4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74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4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484"/>
    <w:rPr>
      <w:b/>
      <w:smallCaps/>
    </w:rPr>
  </w:style>
  <w:style w:type="paragraph" w:customStyle="1" w:styleId="TableListNumber">
    <w:name w:val="Table List Number"/>
    <w:basedOn w:val="ListNumber"/>
    <w:rsid w:val="008674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4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484"/>
    <w:pPr>
      <w:numPr>
        <w:numId w:val="7"/>
      </w:numPr>
    </w:pPr>
  </w:style>
  <w:style w:type="paragraph" w:customStyle="1" w:styleId="ListAlpha2">
    <w:name w:val="List Alpha 2"/>
    <w:basedOn w:val="List2"/>
    <w:rsid w:val="00867484"/>
    <w:pPr>
      <w:numPr>
        <w:numId w:val="6"/>
      </w:numPr>
    </w:pPr>
  </w:style>
  <w:style w:type="paragraph" w:styleId="List2">
    <w:name w:val="List 2"/>
    <w:basedOn w:val="BodyText"/>
    <w:rsid w:val="008674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4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4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4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4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4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7484"/>
    <w:pPr>
      <w:numPr>
        <w:numId w:val="2"/>
      </w:numPr>
    </w:pPr>
  </w:style>
  <w:style w:type="paragraph" w:styleId="ListContinue2">
    <w:name w:val="List Continue 2"/>
    <w:basedOn w:val="List2"/>
    <w:rsid w:val="00867484"/>
    <w:pPr>
      <w:ind w:firstLine="0"/>
    </w:pPr>
  </w:style>
  <w:style w:type="paragraph" w:styleId="ListContinue3">
    <w:name w:val="List Continue 3"/>
    <w:basedOn w:val="List3"/>
    <w:rsid w:val="00867484"/>
    <w:pPr>
      <w:ind w:left="1021" w:firstLine="0"/>
    </w:pPr>
  </w:style>
  <w:style w:type="paragraph" w:styleId="ListContinue4">
    <w:name w:val="List Continue 4"/>
    <w:basedOn w:val="List4"/>
    <w:rsid w:val="00867484"/>
    <w:pPr>
      <w:ind w:firstLine="0"/>
    </w:pPr>
  </w:style>
  <w:style w:type="paragraph" w:styleId="ListContinue5">
    <w:name w:val="List Continue 5"/>
    <w:basedOn w:val="List5"/>
    <w:rsid w:val="00867484"/>
    <w:pPr>
      <w:ind w:firstLine="0"/>
    </w:pPr>
  </w:style>
  <w:style w:type="paragraph" w:styleId="ListNumber3">
    <w:name w:val="List Number 3"/>
    <w:basedOn w:val="List3"/>
    <w:rsid w:val="00867484"/>
    <w:pPr>
      <w:numPr>
        <w:numId w:val="3"/>
      </w:numPr>
    </w:pPr>
  </w:style>
  <w:style w:type="paragraph" w:styleId="ListNumber4">
    <w:name w:val="List Number 4"/>
    <w:basedOn w:val="List4"/>
    <w:rsid w:val="00867484"/>
    <w:pPr>
      <w:numPr>
        <w:numId w:val="4"/>
      </w:numPr>
    </w:pPr>
  </w:style>
  <w:style w:type="paragraph" w:styleId="ListNumber5">
    <w:name w:val="List Number 5"/>
    <w:basedOn w:val="List5"/>
    <w:rsid w:val="00867484"/>
    <w:pPr>
      <w:numPr>
        <w:numId w:val="5"/>
      </w:numPr>
    </w:pPr>
  </w:style>
  <w:style w:type="paragraph" w:styleId="BlockText">
    <w:name w:val="Block Text"/>
    <w:basedOn w:val="Normal"/>
    <w:rsid w:val="008674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4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484"/>
    <w:rPr>
      <w:sz w:val="16"/>
      <w:vertAlign w:val="superscript"/>
    </w:rPr>
  </w:style>
  <w:style w:type="character" w:customStyle="1" w:styleId="Symbols">
    <w:name w:val="Symbols"/>
    <w:basedOn w:val="DefaultParagraphFont"/>
    <w:rsid w:val="00867484"/>
    <w:rPr>
      <w:rFonts w:ascii="Symbol" w:hAnsi="Symbol"/>
    </w:rPr>
  </w:style>
  <w:style w:type="character" w:customStyle="1" w:styleId="MenuOptions">
    <w:name w:val="Menu Options"/>
    <w:basedOn w:val="DefaultParagraphFont"/>
    <w:rsid w:val="008674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484"/>
    <w:rPr>
      <w:b/>
    </w:rPr>
  </w:style>
  <w:style w:type="character" w:customStyle="1" w:styleId="Underlined">
    <w:name w:val="Underlined"/>
    <w:basedOn w:val="DefaultParagraphFont"/>
    <w:rsid w:val="00867484"/>
    <w:rPr>
      <w:u w:val="single"/>
    </w:rPr>
  </w:style>
  <w:style w:type="paragraph" w:customStyle="1" w:styleId="TableBodyTextRight">
    <w:name w:val="Table Body Text Right"/>
    <w:basedOn w:val="TableBodyText"/>
    <w:rsid w:val="008674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484"/>
    <w:rPr>
      <w:sz w:val="18"/>
    </w:rPr>
  </w:style>
  <w:style w:type="paragraph" w:customStyle="1" w:styleId="BodySmallRight">
    <w:name w:val="Body Small Right"/>
    <w:basedOn w:val="BodyTextRight"/>
    <w:rsid w:val="00867484"/>
    <w:rPr>
      <w:sz w:val="18"/>
      <w:szCs w:val="18"/>
    </w:rPr>
  </w:style>
  <w:style w:type="paragraph" w:customStyle="1" w:styleId="MarginEdition">
    <w:name w:val="Margin Edition"/>
    <w:basedOn w:val="MarginNote"/>
    <w:rsid w:val="008674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484"/>
    <w:rPr>
      <w:sz w:val="2"/>
      <w:szCs w:val="2"/>
    </w:rPr>
  </w:style>
  <w:style w:type="character" w:customStyle="1" w:styleId="Small">
    <w:name w:val="Small"/>
    <w:basedOn w:val="DefaultParagraphFont"/>
    <w:rsid w:val="00867484"/>
    <w:rPr>
      <w:sz w:val="16"/>
    </w:rPr>
  </w:style>
  <w:style w:type="paragraph" w:customStyle="1" w:styleId="WideTable">
    <w:name w:val="Wide Table"/>
    <w:basedOn w:val="Normal"/>
    <w:rsid w:val="008674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484"/>
  </w:style>
  <w:style w:type="paragraph" w:styleId="Quote">
    <w:name w:val="Quote"/>
    <w:basedOn w:val="Heading1"/>
    <w:link w:val="QuoteChar"/>
    <w:qFormat/>
    <w:rsid w:val="008674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4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484"/>
    <w:pPr>
      <w:pageBreakBefore/>
    </w:pPr>
  </w:style>
  <w:style w:type="paragraph" w:customStyle="1" w:styleId="Border">
    <w:name w:val="Border"/>
    <w:basedOn w:val="Normal"/>
    <w:qFormat/>
    <w:rsid w:val="008674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4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4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4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4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4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4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4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4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484"/>
    <w:rPr>
      <w:u w:val="single"/>
    </w:rPr>
  </w:style>
  <w:style w:type="character" w:customStyle="1" w:styleId="BoldandItalics">
    <w:name w:val="Bold and Italics"/>
    <w:qFormat/>
    <w:rsid w:val="00867484"/>
    <w:rPr>
      <w:b/>
      <w:i/>
      <w:u w:val="none"/>
    </w:rPr>
  </w:style>
  <w:style w:type="paragraph" w:styleId="BalloonText">
    <w:name w:val="Balloon Text"/>
    <w:basedOn w:val="Normal"/>
    <w:link w:val="BalloonTextChar"/>
    <w:rsid w:val="00867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4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4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4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4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4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484"/>
    <w:pPr>
      <w:spacing w:before="0" w:after="0"/>
    </w:pPr>
  </w:style>
  <w:style w:type="paragraph" w:customStyle="1" w:styleId="BodyTextBold">
    <w:name w:val="Body Text Bold"/>
    <w:basedOn w:val="BodyText"/>
    <w:qFormat/>
    <w:rsid w:val="00867484"/>
    <w:rPr>
      <w:b/>
    </w:rPr>
  </w:style>
  <w:style w:type="character" w:styleId="Hyperlink">
    <w:name w:val="Hyperlink"/>
    <w:basedOn w:val="DefaultParagraphFont"/>
    <w:uiPriority w:val="99"/>
    <w:unhideWhenUsed/>
    <w:rsid w:val="005B4E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3053</Characters>
  <Application>Microsoft Office Word</Application>
  <DocSecurity>0</DocSecurity>
  <Lines>138</Lines>
  <Paragraphs>72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TLIO0004 Maintain security of railway property and revenue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