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D9E" w:rsidP="00C34D9E">
      <w:pPr>
        <w:pStyle w:val="Title"/>
      </w:pPr>
      <w:r>
        <w:fldChar w:fldCharType="begin"/>
      </w:r>
      <w:r>
        <w:instrText xml:space="preserve"> TITLE   \* MERGEFORMAT </w:instrText>
      </w:r>
      <w:r>
        <w:fldChar w:fldCharType="separate"/>
      </w:r>
      <w:r>
        <w:t>TLIO0003 Follow security procedures when working with goods and cargo</w:t>
      </w:r>
      <w:r>
        <w:fldChar w:fldCharType="end"/>
      </w:r>
    </w:p>
    <w:p w:rsidR="00C34D9E" w:rsidP="00C34D9E">
      <w:pPr>
        <w:pStyle w:val="Version"/>
        <w:sectPr w:rsidSect="006F1C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CDC" w:rsidP="006F1CDC">
      <w:pPr>
        <w:pStyle w:val="SuperHeading"/>
      </w:pPr>
      <w:r w:rsidRPr="006F1CDC">
        <w:t>TLIO0003 Follow security procedures when working with goods and cargo</w:t>
      </w:r>
    </w:p>
    <w:p w:rsidR="00000000" w:rsidRPr="006F1CDC" w:rsidP="006F1CDC">
      <w:pPr>
        <w:pStyle w:val="Heading1"/>
      </w:pPr>
      <w:bookmarkStart w:id="1" w:name="O_1067522"/>
      <w:bookmarkEnd w:id="1"/>
      <w:r w:rsidRPr="006F1CDC">
        <w:t>Modification History</w:t>
      </w:r>
    </w:p>
    <w:tbl>
      <w:tblPr>
        <w:tblW w:w="9497" w:type="dxa"/>
        <w:tblLayout w:type="fixed"/>
        <w:tblCellMar>
          <w:left w:w="62" w:type="dxa"/>
          <w:right w:w="62" w:type="dxa"/>
        </w:tblCellMar>
        <w:tblLook w:val="0000"/>
      </w:tblPr>
      <w:tblGrid>
        <w:gridCol w:w="9497"/>
      </w:tblGrid>
      <w:tr w:rsidTr="006F1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rPr>
                <w:rStyle w:val="SpecialBold"/>
              </w:rPr>
              <w:t xml:space="preserve">Release 1. </w:t>
            </w:r>
            <w:r w:rsidRPr="006F1CDC">
              <w:t>This is the first release of this unit of competency in the TLI Transport and Logistics Training Package.</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2" w:name="O_1067523"/>
      <w:bookmarkEnd w:id="2"/>
      <w:r w:rsidRPr="006F1CDC">
        <w:t>Application</w:t>
      </w:r>
    </w:p>
    <w:tbl>
      <w:tblPr>
        <w:tblW w:w="9497" w:type="dxa"/>
        <w:tblLayout w:type="fixed"/>
        <w:tblCellMar>
          <w:left w:w="62" w:type="dxa"/>
          <w:right w:w="62" w:type="dxa"/>
        </w:tblCellMar>
        <w:tblLook w:val="0000"/>
      </w:tblPr>
      <w:tblGrid>
        <w:gridCol w:w="9497"/>
      </w:tblGrid>
      <w:tr w:rsidTr="006F1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t>This unit involves the skills and knowledge required to follow security procedures when working with goods and cargo within the transport and logistics industry.</w:t>
            </w:r>
          </w:p>
          <w:p w:rsidR="00000000" w:rsidRPr="006F1CDC" w:rsidP="006F1CDC">
            <w:pPr>
              <w:pStyle w:val="BodyText"/>
            </w:pPr>
            <w:r w:rsidRPr="006F1CDC">
              <w:t xml:space="preserve">It includes checking and maintaining the security of goods and cargo, identifying </w:t>
            </w:r>
            <w:r w:rsidRPr="006F1CDC">
              <w:t>and responding to security threats or situations, and completing all required security records.</w:t>
            </w:r>
          </w:p>
          <w:p w:rsidR="00000000" w:rsidRPr="006F1CDC" w:rsidP="006F1CDC">
            <w:pPr>
              <w:pStyle w:val="BodyText"/>
            </w:pPr>
            <w:r w:rsidRPr="006F1CDC">
              <w:t>People achieving competence in this unit will need to fulfil the applicable security regulations and the relevant sections of a transport organisation’s workpla</w:t>
            </w:r>
            <w:r w:rsidRPr="006F1CDC">
              <w:t>ce security program and procedures.</w:t>
            </w:r>
          </w:p>
          <w:p w:rsidR="00000000" w:rsidRPr="006F1CDC" w:rsidP="006F1CDC">
            <w:pPr>
              <w:pStyle w:val="BodyText"/>
            </w:pPr>
            <w:r w:rsidRPr="006F1CDC">
              <w:t>Work is performed under some supervision generally within a team environment.</w:t>
            </w:r>
          </w:p>
          <w:p w:rsidR="00000000" w:rsidRPr="006F1CDC" w:rsidP="006F1CDC">
            <w:pPr>
              <w:pStyle w:val="BodyText"/>
            </w:pPr>
            <w:r w:rsidRPr="006F1CDC">
              <w:t>No licensing, legislative or certification requirements apply to this unit at the time of publication.</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3" w:name="O_1067524"/>
      <w:bookmarkEnd w:id="3"/>
      <w:r w:rsidRPr="006F1CDC">
        <w:t>Pre-requisite Unit</w:t>
      </w:r>
    </w:p>
    <w:tbl>
      <w:tblPr>
        <w:tblW w:w="9497" w:type="dxa"/>
        <w:tblLayout w:type="fixed"/>
        <w:tblCellMar>
          <w:left w:w="62" w:type="dxa"/>
          <w:right w:w="62" w:type="dxa"/>
        </w:tblCellMar>
        <w:tblLook w:val="0000"/>
      </w:tblPr>
      <w:tblGrid>
        <w:gridCol w:w="9497"/>
      </w:tblGrid>
      <w:tr w:rsidTr="006F1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t>Not applicable.</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4" w:name="O_1067525"/>
      <w:bookmarkEnd w:id="4"/>
      <w:r w:rsidRPr="006F1CDC">
        <w:t>Competency Field</w:t>
      </w:r>
    </w:p>
    <w:tbl>
      <w:tblPr>
        <w:tblW w:w="9497" w:type="dxa"/>
        <w:tblLayout w:type="fixed"/>
        <w:tblCellMar>
          <w:left w:w="62" w:type="dxa"/>
          <w:right w:w="62" w:type="dxa"/>
        </w:tblCellMar>
        <w:tblLook w:val="0000"/>
      </w:tblPr>
      <w:tblGrid>
        <w:gridCol w:w="9497"/>
      </w:tblGrid>
      <w:tr w:rsidTr="006F1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t>O ‒ Security</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5" w:name="O_1067526"/>
      <w:bookmarkEnd w:id="5"/>
      <w:r w:rsidRPr="006F1CDC">
        <w:t>Unit Sector</w:t>
      </w:r>
    </w:p>
    <w:tbl>
      <w:tblPr>
        <w:tblW w:w="9497" w:type="dxa"/>
        <w:tblLayout w:type="fixed"/>
        <w:tblCellMar>
          <w:left w:w="62" w:type="dxa"/>
          <w:right w:w="62" w:type="dxa"/>
        </w:tblCellMar>
        <w:tblLook w:val="0000"/>
      </w:tblPr>
      <w:tblGrid>
        <w:gridCol w:w="9497"/>
      </w:tblGrid>
      <w:tr w:rsidTr="006F1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t>Not applicable.</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6" w:name="O_1067527"/>
      <w:bookmarkEnd w:id="6"/>
      <w:r w:rsidRPr="006F1CD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F1CD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PERFORMANCE CRITERIA</w:t>
            </w:r>
          </w:p>
        </w:tc>
      </w:tr>
      <w:tr w:rsidTr="006F1CD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Performance criteria describe the performance needed to demonstrate achievement of the element.</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rPr>
                <w:rStyle w:val="SpecialBold"/>
              </w:rPr>
              <w:t xml:space="preserve">Maintain security of </w:t>
            </w:r>
            <w:r w:rsidRPr="006F1CDC">
              <w:rPr>
                <w:rStyle w:val="SpecialBold"/>
              </w:rPr>
              <w:t>goods and cargo</w:t>
            </w: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 xml:space="preserve">Goods and cargo are secured, as required, within </w:t>
            </w:r>
            <w:r w:rsidRPr="006F1CDC">
              <w:t>specified locations and transport vehicles in accordance with wor</w:t>
            </w:r>
            <w:r w:rsidRPr="006F1CDC">
              <w:t xml:space="preserve">kplace security procedures </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Seals, tamper-proof packaging, locks and other security measures on goods or cargo are checked and maintained in accordance with workplace security procedures</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Signs of pillaging, theft and interference are recognised and reported in accordance with workplace security procedures</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Signs of suspicious goods and cargo are recognised and reported promptly to designated personnel</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Breaches of security requ</w:t>
            </w:r>
            <w:r w:rsidRPr="006F1CDC">
              <w:t>irements are reported promptly to designated personnel in accordance with workplace security procedures</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rPr>
                <w:rStyle w:val="SpecialBold"/>
              </w:rPr>
              <w:t>Identify a security threat or situation</w:t>
            </w: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Security threat or situation is promptly identified and assessed, and response is prioritised in accordan</w:t>
            </w:r>
            <w:r w:rsidRPr="006F1CDC">
              <w:t>ce with workplace security program and procedures</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Implications of the security threat or situation are evaluated in accordance with workplace security program and procedures</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Relevant personnel are alerted to the security threat or situation in accordance with workplace security procedures</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Communications are maintained with relevant personnel to determine appropriate course of action</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rPr>
                <w:rStyle w:val="SpecialBold"/>
              </w:rPr>
              <w:t>Respond to a security threat or si</w:t>
            </w:r>
            <w:r w:rsidRPr="006F1CDC">
              <w:rPr>
                <w:rStyle w:val="SpecialBold"/>
              </w:rPr>
              <w:t>tuation</w:t>
            </w: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Identified security threat or situation is responded to in accordance with workplace security procedures, received instructions, regulatory requirements and emergency response plan</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Security threats or situations are handled appropriately in accordance with established response plan and within limits of own responsibility and duty of care</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Responsibilities are fulfilled in accordance with workplace security program an</w:t>
            </w:r>
            <w:r w:rsidRPr="006F1CDC">
              <w:t>d regulatory requirements</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Assistance is provided in controlling the site prior to and following the arrival of security and/or emergency services</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Assistance is provided to other staff and emergency services personnel conducting an initial sur</w:t>
            </w:r>
            <w:r w:rsidRPr="006F1CDC">
              <w:t>vey of the scene</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Directions of the controlling security/emergency services are followed and all possible assistance is provided in response to those directions</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rPr>
                <w:rStyle w:val="SpecialBold"/>
              </w:rPr>
              <w:t>Maintain security records</w:t>
            </w: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Security records requirements are confirmed</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t>Records of security checks and precautions are documented in accordance with workplace procedures</w:t>
            </w:r>
          </w:p>
        </w:tc>
      </w:tr>
      <w:tr w:rsidTr="006F1C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1C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1CDC">
            <w:pPr>
              <w:pStyle w:val="BodyText"/>
              <w:rPr>
                <w:lang w:val="en-NZ"/>
              </w:rPr>
            </w:pPr>
            <w:r w:rsidRPr="006F1CD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t>Reports of security threats or situations are completed in accordance with workplace requirements and applicable security requirements</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7" w:name="O_1067528"/>
      <w:bookmarkEnd w:id="7"/>
      <w:r w:rsidRPr="006F1CDC">
        <w:t>Foundation Skills</w:t>
      </w:r>
    </w:p>
    <w:tbl>
      <w:tblPr>
        <w:tblW w:w="9497" w:type="dxa"/>
        <w:tblLayout w:type="fixed"/>
        <w:tblCellMar>
          <w:left w:w="62" w:type="dxa"/>
          <w:right w:w="62" w:type="dxa"/>
        </w:tblCellMar>
        <w:tblLook w:val="0000"/>
      </w:tblPr>
      <w:tblGrid>
        <w:gridCol w:w="9497"/>
      </w:tblGrid>
      <w:tr w:rsidTr="006F1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t>Foundation skills essential to performance are explicit in the performance criteria of this unit of competency.</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8" w:name="O_1067529"/>
      <w:bookmarkEnd w:id="8"/>
      <w:r w:rsidRPr="006F1CDC">
        <w:t>Range of Conditions</w:t>
      </w:r>
    </w:p>
    <w:tbl>
      <w:tblPr>
        <w:tblW w:w="9497" w:type="dxa"/>
        <w:tblLayout w:type="fixed"/>
        <w:tblCellMar>
          <w:left w:w="62" w:type="dxa"/>
          <w:right w:w="62" w:type="dxa"/>
        </w:tblCellMar>
        <w:tblLook w:val="0000"/>
      </w:tblPr>
      <w:tblGrid>
        <w:gridCol w:w="9497"/>
      </w:tblGrid>
      <w:tr w:rsidTr="006F1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t>Range is restricted to essential operating conditions and any other variables essential to the work environment.</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9" w:name="O_1067530"/>
      <w:bookmarkEnd w:id="9"/>
      <w:r w:rsidRPr="006F1CDC">
        <w:t>Unit Mapping Information</w:t>
      </w:r>
    </w:p>
    <w:tbl>
      <w:tblPr>
        <w:tblW w:w="9497" w:type="dxa"/>
        <w:tblLayout w:type="fixed"/>
        <w:tblCellMar>
          <w:left w:w="62" w:type="dxa"/>
          <w:right w:w="62" w:type="dxa"/>
        </w:tblCellMar>
        <w:tblLook w:val="0000"/>
      </w:tblPr>
      <w:tblGrid>
        <w:gridCol w:w="9497"/>
      </w:tblGrid>
      <w:tr w:rsidTr="006F1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t>This unit replaces and is equivalent to TLIO2021 Follow security procedures when working with goo</w:t>
            </w:r>
            <w:r w:rsidRPr="006F1CDC">
              <w:t>ds and cargo.</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10" w:name="O_1067537"/>
      <w:bookmarkEnd w:id="10"/>
      <w:r w:rsidRPr="006F1CDC">
        <w:t>Links</w:t>
      </w:r>
    </w:p>
    <w:p w:rsidR="00000000" w:rsidRPr="006F1CDC" w:rsidP="00C34D9E">
      <w:pPr>
        <w:pStyle w:val="BodyText"/>
      </w:pPr>
      <w:r w:rsidRPr="006F1CD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E7E50">
        <w:rPr>
          <w:rStyle w:val="Hyperlink"/>
        </w:rPr>
        <w:t>https://vetnet.gov.au/Pages/TrainingDocs.aspx?q=df441c6e-213d-43e3-874c-0b3f7036d851</w:t>
      </w:r>
      <w:r>
        <w:fldChar w:fldCharType="end"/>
      </w:r>
    </w:p>
    <w:p w:rsidR="00000000" w:rsidRPr="006F1CDC" w:rsidP="00C34D9E">
      <w:pPr>
        <w:pStyle w:val="BodyText"/>
        <w:sectPr w:rsidSect="006F1CDC">
          <w:headerReference w:type="default" r:id="rId10"/>
          <w:footerReference w:type="default" r:id="rId11"/>
          <w:pgSz w:w="11908" w:h="16833"/>
          <w:pgMar w:top="1702" w:right="1418" w:bottom="1702" w:left="1418" w:header="992" w:footer="992" w:gutter="0"/>
          <w:cols w:space="720"/>
          <w:noEndnote/>
          <w:docGrid w:linePitch="299"/>
        </w:sectPr>
      </w:pPr>
    </w:p>
    <w:p w:rsidR="00000000" w:rsidRPr="006F1CDC" w:rsidP="006F1CDC">
      <w:pPr>
        <w:pStyle w:val="SuperHeading"/>
      </w:pPr>
      <w:r w:rsidRPr="006F1CDC">
        <w:t>Assessment Requirement</w:t>
      </w:r>
      <w:r w:rsidRPr="006F1CDC">
        <w:t>s for TLIO0003 Follow security procedures when working with goods and cargo</w:t>
      </w:r>
    </w:p>
    <w:p w:rsidR="00000000" w:rsidRPr="006F1CDC" w:rsidP="006F1CDC">
      <w:pPr>
        <w:pStyle w:val="Heading1"/>
      </w:pPr>
      <w:bookmarkStart w:id="11" w:name="O_1067532"/>
      <w:bookmarkEnd w:id="11"/>
      <w:r w:rsidRPr="006F1CDC">
        <w:t>Modification History</w:t>
      </w:r>
    </w:p>
    <w:tbl>
      <w:tblPr>
        <w:tblW w:w="9497" w:type="dxa"/>
        <w:tblLayout w:type="fixed"/>
        <w:tblCellMar>
          <w:left w:w="62" w:type="dxa"/>
          <w:right w:w="62" w:type="dxa"/>
        </w:tblCellMar>
        <w:tblLook w:val="0000"/>
      </w:tblPr>
      <w:tblGrid>
        <w:gridCol w:w="9497"/>
      </w:tblGrid>
      <w:tr w:rsidTr="006F1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rPr>
                <w:rStyle w:val="SpecialBold"/>
              </w:rPr>
              <w:t xml:space="preserve">Release 1. </w:t>
            </w:r>
            <w:r w:rsidRPr="006F1CDC">
              <w:t>This is the first release of this unit of competency in the TLI Transport and Logistics Training Package.</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12" w:name="O_1067533"/>
      <w:bookmarkEnd w:id="12"/>
      <w:r w:rsidRPr="006F1CDC">
        <w:t>Performance Evidence</w:t>
      </w:r>
    </w:p>
    <w:tbl>
      <w:tblPr>
        <w:tblW w:w="9497" w:type="dxa"/>
        <w:tblLayout w:type="fixed"/>
        <w:tblCellMar>
          <w:left w:w="62" w:type="dxa"/>
          <w:right w:w="62" w:type="dxa"/>
        </w:tblCellMar>
        <w:tblLook w:val="0000"/>
      </w:tblPr>
      <w:tblGrid>
        <w:gridCol w:w="9497"/>
      </w:tblGrid>
      <w:tr w:rsidTr="006F1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t>Evidence required to demonstrate competence in this unit must be relevant to and satisfy all of the requirements of the elements and performance criteria on at least one occasion and include:</w:t>
            </w:r>
          </w:p>
          <w:p w:rsidR="00000000" w:rsidRPr="006F1CDC" w:rsidP="006F1CDC">
            <w:pPr>
              <w:pStyle w:val="ListBullet"/>
            </w:pPr>
            <w:r w:rsidRPr="006F1CDC">
              <w:t>adapting to differences in equipment, faci</w:t>
            </w:r>
            <w:r w:rsidRPr="006F1CDC">
              <w:t>lities, cargo and passengers</w:t>
            </w:r>
          </w:p>
          <w:p w:rsidR="00000000" w:rsidRPr="006F1CDC" w:rsidP="006F1CDC">
            <w:pPr>
              <w:pStyle w:val="ListBullet"/>
            </w:pPr>
            <w:r w:rsidRPr="006F1CDC">
              <w:t>applying procedures for security checks and precautions within limits of own role and responsibilities</w:t>
            </w:r>
          </w:p>
          <w:p w:rsidR="00000000" w:rsidRPr="006F1CDC" w:rsidP="006F1CDC">
            <w:pPr>
              <w:pStyle w:val="ListBullet"/>
            </w:pPr>
            <w:r w:rsidRPr="006F1CDC">
              <w:t>applying relevant workplace procedures</w:t>
            </w:r>
          </w:p>
          <w:p w:rsidR="00000000" w:rsidRPr="006F1CDC" w:rsidP="006F1CDC">
            <w:pPr>
              <w:pStyle w:val="ListBullet"/>
            </w:pPr>
            <w:r w:rsidRPr="006F1CDC">
              <w:t>communicating effectively with others when following security procedures</w:t>
            </w:r>
          </w:p>
          <w:p w:rsidR="00000000" w:rsidRPr="006F1CDC" w:rsidP="006F1CDC">
            <w:pPr>
              <w:pStyle w:val="ListBullet"/>
            </w:pPr>
            <w:r w:rsidRPr="006F1CDC">
              <w:t>completing d</w:t>
            </w:r>
            <w:r w:rsidRPr="006F1CDC">
              <w:t>ocumentation and reports related to security procedures</w:t>
            </w:r>
          </w:p>
          <w:p w:rsidR="00000000" w:rsidRPr="006F1CDC" w:rsidP="006F1CDC">
            <w:pPr>
              <w:pStyle w:val="ListBullet"/>
            </w:pPr>
            <w:r w:rsidRPr="006F1CDC">
              <w:t>following workplace emergency response plan and procedures</w:t>
            </w:r>
          </w:p>
          <w:p w:rsidR="00000000" w:rsidRPr="006F1CDC" w:rsidP="006F1CDC">
            <w:pPr>
              <w:pStyle w:val="ListBullet"/>
            </w:pPr>
            <w:r w:rsidRPr="006F1CDC">
              <w:t>identifying and reporting problems that arise when following security procedures</w:t>
            </w:r>
          </w:p>
          <w:p w:rsidR="00000000" w:rsidRPr="006F1CDC" w:rsidP="006F1CDC">
            <w:pPr>
              <w:pStyle w:val="ListBullet"/>
            </w:pPr>
            <w:r w:rsidRPr="006F1CDC">
              <w:t>identifying signs of disruption to goods and cargo</w:t>
            </w:r>
          </w:p>
          <w:p w:rsidR="00000000" w:rsidRPr="006F1CDC" w:rsidP="006F1CDC">
            <w:pPr>
              <w:pStyle w:val="ListBullet"/>
            </w:pPr>
            <w:r w:rsidRPr="006F1CDC">
              <w:t>reading and interpreting relevant instructions, workplace procedures, labels, markings, ID cards and other information</w:t>
            </w:r>
          </w:p>
          <w:p w:rsidR="00000000" w:rsidRPr="006F1CDC" w:rsidP="006F1CDC">
            <w:pPr>
              <w:pStyle w:val="ListBullet"/>
            </w:pPr>
            <w:r w:rsidRPr="006F1CDC">
              <w:t>recognising signs of pillage, theft and interference with goods, cargo and mail</w:t>
            </w:r>
          </w:p>
          <w:p w:rsidR="00000000" w:rsidRPr="006F1CDC" w:rsidP="006F1CDC">
            <w:pPr>
              <w:pStyle w:val="ListBullet"/>
            </w:pPr>
            <w:r w:rsidRPr="006F1CDC">
              <w:t>recognising signs of security threats and situations</w:t>
            </w:r>
          </w:p>
          <w:p w:rsidR="00000000" w:rsidRPr="006F1CDC" w:rsidP="006F1CDC">
            <w:pPr>
              <w:pStyle w:val="ListBullet"/>
            </w:pPr>
            <w:r w:rsidRPr="006F1CDC">
              <w:t>repo</w:t>
            </w:r>
            <w:r w:rsidRPr="006F1CDC">
              <w:t>rting and/or rectifying identified problems promptly in accordance with workplace procedures</w:t>
            </w:r>
          </w:p>
          <w:p w:rsidR="00000000" w:rsidRPr="006F1CDC" w:rsidP="006F1CDC">
            <w:pPr>
              <w:pStyle w:val="ListBullet"/>
            </w:pPr>
            <w:r w:rsidRPr="006F1CDC">
              <w:t>responding to a possible security threat</w:t>
            </w:r>
          </w:p>
          <w:p w:rsidR="00000000" w:rsidRPr="006F1CDC" w:rsidP="006F1CDC">
            <w:pPr>
              <w:pStyle w:val="ListBullet"/>
            </w:pPr>
            <w:r w:rsidRPr="006F1CDC">
              <w:t>selecting and using relevant communications and other equipment</w:t>
            </w:r>
          </w:p>
          <w:p w:rsidR="00000000" w:rsidRPr="006F1CDC" w:rsidP="006F1CDC">
            <w:pPr>
              <w:pStyle w:val="ListBullet"/>
            </w:pPr>
            <w:r w:rsidRPr="006F1CDC">
              <w:t>using personal protective equipment (PPE) in accordance wi</w:t>
            </w:r>
            <w:r w:rsidRPr="006F1CDC">
              <w:t>th workplace procedures</w:t>
            </w:r>
          </w:p>
          <w:p w:rsidR="00000000" w:rsidRPr="006F1CDC" w:rsidP="006F1CDC">
            <w:pPr>
              <w:pStyle w:val="ListBullet"/>
            </w:pPr>
            <w:r w:rsidRPr="006F1CDC">
              <w:t>working collaboratively with others.</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13" w:name="O_1067534"/>
      <w:bookmarkEnd w:id="13"/>
      <w:r w:rsidRPr="006F1CDC">
        <w:t>Knowledge Evidence</w:t>
      </w:r>
    </w:p>
    <w:tbl>
      <w:tblPr>
        <w:tblW w:w="9497" w:type="dxa"/>
        <w:tblLayout w:type="fixed"/>
        <w:tblCellMar>
          <w:left w:w="62" w:type="dxa"/>
          <w:right w:w="62" w:type="dxa"/>
        </w:tblCellMar>
        <w:tblLook w:val="0000"/>
      </w:tblPr>
      <w:tblGrid>
        <w:gridCol w:w="9497"/>
      </w:tblGrid>
      <w:tr w:rsidTr="006F1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t>Evidence required to demonstrate competence in this unit must be relevant to and satisfy all of the requirements of the elements and performance criteria and include knowledge of:</w:t>
            </w:r>
          </w:p>
          <w:p w:rsidR="00000000" w:rsidRPr="006F1CDC" w:rsidP="006F1CDC">
            <w:pPr>
              <w:pStyle w:val="ListBullet"/>
            </w:pPr>
            <w:r w:rsidRPr="006F1CDC">
              <w:t>applicable measures for securing specified locations (such as transport terminals and storage facilities) and transport vehicles</w:t>
            </w:r>
          </w:p>
          <w:p w:rsidR="00000000" w:rsidRPr="006F1CDC" w:rsidP="006F1CDC">
            <w:pPr>
              <w:pStyle w:val="ListBullet"/>
            </w:pPr>
            <w:r w:rsidRPr="006F1CDC">
              <w:t>common security problems that may occur when carrying out operations in the transport and logistics industries, and action that</w:t>
            </w:r>
            <w:r w:rsidRPr="006F1CDC">
              <w:t xml:space="preserve"> can be taken to address and resolve these problems</w:t>
            </w:r>
          </w:p>
          <w:p w:rsidR="00000000" w:rsidRPr="006F1CDC" w:rsidP="006F1CDC">
            <w:pPr>
              <w:pStyle w:val="ListBullet"/>
            </w:pPr>
            <w:r w:rsidRPr="006F1CDC">
              <w:t>common security threats and situations that may occur in transport and logistics industries, and related roles and responsibilities of personnel when reporting and responding to these security threats and</w:t>
            </w:r>
            <w:r w:rsidRPr="006F1CDC">
              <w:t xml:space="preserve"> situations</w:t>
            </w:r>
          </w:p>
          <w:p w:rsidR="00000000" w:rsidRPr="006F1CDC" w:rsidP="006F1CDC">
            <w:pPr>
              <w:pStyle w:val="ListBullet"/>
            </w:pPr>
            <w:r w:rsidRPr="006F1CDC">
              <w:t>layout of worksite</w:t>
            </w:r>
          </w:p>
          <w:p w:rsidR="00000000" w:rsidRPr="006F1CDC" w:rsidP="006F1CDC">
            <w:pPr>
              <w:pStyle w:val="ListBullet"/>
            </w:pPr>
            <w:r w:rsidRPr="006F1CDC">
              <w:t>procedures for operating electronic communications equipment and required protocols</w:t>
            </w:r>
          </w:p>
          <w:p w:rsidR="00000000" w:rsidRPr="006F1CDC" w:rsidP="006F1CDC">
            <w:pPr>
              <w:pStyle w:val="ListBullet"/>
            </w:pPr>
            <w:r w:rsidRPr="006F1CDC">
              <w:t>relevant documentation and reporting requirements</w:t>
            </w:r>
          </w:p>
          <w:p w:rsidR="00000000" w:rsidRPr="006F1CDC" w:rsidP="006F1CDC">
            <w:pPr>
              <w:pStyle w:val="ListBullet"/>
            </w:pPr>
            <w:r w:rsidRPr="006F1CDC">
              <w:t xml:space="preserve">relevant work health and safety (WHS)/occupational health and safety (OHS) procedures </w:t>
            </w:r>
          </w:p>
          <w:p w:rsidR="00000000" w:rsidRPr="006F1CDC" w:rsidP="006F1CDC">
            <w:pPr>
              <w:pStyle w:val="ListBullet"/>
            </w:pPr>
            <w:r w:rsidRPr="006F1CDC">
              <w:t>rele</w:t>
            </w:r>
            <w:r w:rsidRPr="006F1CDC">
              <w:t>vant workplace security policies and procedures for responding to security threats, situations and emergencies</w:t>
            </w:r>
          </w:p>
          <w:p w:rsidR="00000000" w:rsidRPr="006F1CDC" w:rsidP="006F1CDC">
            <w:pPr>
              <w:pStyle w:val="ListBullet"/>
            </w:pPr>
            <w:r w:rsidRPr="006F1CDC">
              <w:t>signs of pillaging, theft and interference with goods, cargo and mail.</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14" w:name="O_1067535"/>
      <w:bookmarkEnd w:id="14"/>
      <w:r w:rsidRPr="006F1CDC">
        <w:t>Assessment Conditions</w:t>
      </w:r>
    </w:p>
    <w:tbl>
      <w:tblPr>
        <w:tblW w:w="9497" w:type="dxa"/>
        <w:tblLayout w:type="fixed"/>
        <w:tblCellMar>
          <w:left w:w="62" w:type="dxa"/>
          <w:right w:w="62" w:type="dxa"/>
        </w:tblCellMar>
        <w:tblLook w:val="0000"/>
      </w:tblPr>
      <w:tblGrid>
        <w:gridCol w:w="9497"/>
      </w:tblGrid>
      <w:tr w:rsidTr="006F1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CDC" w:rsidP="006F1CDC">
            <w:pPr>
              <w:pStyle w:val="BodyText"/>
            </w:pPr>
            <w:r w:rsidRPr="006F1CDC">
              <w:t xml:space="preserve">Assessors must hold credentials specified within the Standards for Registered Training Organisations current at the time of assessment. </w:t>
            </w:r>
          </w:p>
          <w:p w:rsidR="00000000" w:rsidRPr="006F1CDC" w:rsidP="006F1CDC">
            <w:pPr>
              <w:pStyle w:val="BodyText"/>
            </w:pPr>
            <w:r w:rsidRPr="006F1CDC">
              <w:t>Assessment must satisfy the Principles of Assessment and Rules of Evidence and all regulatory requirements included wit</w:t>
            </w:r>
            <w:r w:rsidRPr="006F1CDC">
              <w:t>hin the Standards for Registered Training Organisations current at the time of assessment.</w:t>
            </w:r>
          </w:p>
          <w:p w:rsidR="00000000" w:rsidRPr="006F1CDC" w:rsidP="006F1CDC">
            <w:pPr>
              <w:pStyle w:val="BodyText"/>
            </w:pPr>
            <w:r w:rsidRPr="006F1CDC">
              <w:t>Assessment must occur in workplace operational situations where it is appropriate to do so; where this is not appropriate, assessment must occur in simulated workpla</w:t>
            </w:r>
            <w:r w:rsidRPr="006F1CDC">
              <w:t>ce operational situations that replicate workplace conditions.</w:t>
            </w:r>
          </w:p>
          <w:p w:rsidR="00000000" w:rsidRPr="006F1CDC" w:rsidP="006F1CDC">
            <w:pPr>
              <w:pStyle w:val="BodyText"/>
            </w:pPr>
            <w:r w:rsidRPr="006F1CDC">
              <w:t>Assessment processes and techniques must be appropriate to the language, literacy and numeracy requirements of the work being performed and the needs of the candidate.</w:t>
            </w:r>
          </w:p>
          <w:p w:rsidR="00000000" w:rsidRPr="006F1CDC" w:rsidP="006F1CDC">
            <w:pPr>
              <w:pStyle w:val="BodyText"/>
            </w:pPr>
            <w:r w:rsidRPr="006F1CDC">
              <w:t xml:space="preserve">Resources for assessment </w:t>
            </w:r>
            <w:r w:rsidRPr="006F1CDC">
              <w:t>must include:</w:t>
            </w:r>
          </w:p>
          <w:p w:rsidR="00000000" w:rsidRPr="006F1CDC" w:rsidP="006F1CDC">
            <w:pPr>
              <w:pStyle w:val="ListBullet"/>
            </w:pPr>
            <w:r w:rsidRPr="006F1CDC">
              <w:t>relevant and appropriate materials, tools, equipment and PPE</w:t>
            </w:r>
          </w:p>
          <w:p w:rsidR="00000000" w:rsidRPr="006F1CDC" w:rsidP="006F1CDC">
            <w:pPr>
              <w:pStyle w:val="ListBullet"/>
            </w:pPr>
            <w:r w:rsidRPr="006F1CDC">
              <w:t>applicable documentation, including workplace procedures, regulations, codes of practice and operation manuals.</w:t>
            </w:r>
          </w:p>
        </w:tc>
      </w:tr>
    </w:tbl>
    <w:p w:rsidR="00000000" w:rsidRPr="006F1CDC" w:rsidP="006F1CDC">
      <w:pPr>
        <w:pStyle w:val="NoPaddingFontSize1"/>
      </w:pPr>
    </w:p>
    <w:p w:rsidR="00000000" w:rsidRPr="006F1CDC" w:rsidP="006F1CDC">
      <w:pPr>
        <w:pStyle w:val="AllowPageBreak"/>
      </w:pPr>
    </w:p>
    <w:p w:rsidR="00000000" w:rsidRPr="006F1CDC" w:rsidP="006F1CDC">
      <w:pPr>
        <w:pStyle w:val="Heading1"/>
      </w:pPr>
      <w:bookmarkStart w:id="15" w:name="O_1067538"/>
      <w:bookmarkEnd w:id="15"/>
      <w:r w:rsidRPr="006F1CDC">
        <w:t>Links</w:t>
      </w:r>
    </w:p>
    <w:p w:rsidR="00000000" w:rsidRPr="006F1CDC" w:rsidP="00C34D9E">
      <w:pPr>
        <w:pStyle w:val="BodyText"/>
      </w:pPr>
      <w:r w:rsidRPr="006F1CDC">
        <w:t>Companion Volume Implementation Guides ar</w:t>
      </w:r>
      <w:r w:rsidRPr="006F1CDC">
        <w:t xml:space="preserve">e found in VETNet - </w:t>
      </w:r>
      <w:r>
        <w:fldChar w:fldCharType="begin"/>
      </w:r>
      <w:r>
        <w:instrText xml:space="preserve"> HYPERLINK "https://vetnet.gov.au/Pages/TrainingDocs.aspx?q=df441c6e-213d-43e3-874c-0b3f7036d851" </w:instrText>
      </w:r>
      <w:r>
        <w:fldChar w:fldCharType="separate"/>
      </w:r>
      <w:r w:rsidRPr="00FE7E50">
        <w:rPr>
          <w:rStyle w:val="Hyperlink"/>
        </w:rPr>
        <w:t>https://vetnet.gov.au/Pages/TrainingDocs.aspx?q=df441c6e-213d-43e3-874c-0b3f7036d851</w:t>
      </w:r>
      <w:r>
        <w:fldChar w:fldCharType="end"/>
      </w:r>
    </w:p>
    <w:p w:rsidR="00000000" w:rsidRPr="006F1CDC" w:rsidP="006F1CDC"/>
    <w:sectPr w:rsidSect="006F1C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DC" w:rsidRPr="00C34D9E" w:rsidP="00C34D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9E" w:rsidP="006F1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D9E" w:rsidP="006F1C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34D9E" w:rsidP="006F1C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DC" w:rsidP="006F1CDC">
    <w:pPr>
      <w:pStyle w:val="Footer"/>
      <w:framePr w:wrap="around"/>
    </w:pPr>
    <w:r>
      <w:fldChar w:fldCharType="begin"/>
    </w:r>
    <w:r>
      <w:instrText xml:space="preserve"> DOCPROPERTY  Subject  \* MERGEFORMAT </w:instrText>
    </w:r>
    <w:r>
      <w:fldChar w:fldCharType="separate"/>
    </w:r>
    <w:r w:rsidR="00C34D9E">
      <w:t>Approved</w:t>
    </w:r>
    <w:r w:rsidR="00C34D9E">
      <w:fldChar w:fldCharType="end"/>
    </w:r>
    <w:r>
      <w:tab/>
      <w:t xml:space="preserve">Page </w:t>
    </w:r>
    <w:r>
      <w:fldChar w:fldCharType="begin"/>
    </w:r>
    <w:r>
      <w:instrText xml:space="preserve"> PAGE  \* Arabic  \* MERGEFORMAT </w:instrText>
    </w:r>
    <w:r>
      <w:fldChar w:fldCharType="separate"/>
    </w:r>
    <w:r w:rsidR="00C34D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4D9E">
      <w:rPr>
        <w:noProof/>
      </w:rPr>
      <w:t>4</w:t>
    </w:r>
    <w:r>
      <w:rPr>
        <w:noProof/>
      </w:rPr>
      <w:fldChar w:fldCharType="end"/>
    </w:r>
  </w:p>
  <w:p w:rsidR="006F1CDC" w:rsidP="006F1CDC">
    <w:pPr>
      <w:pStyle w:val="Footer"/>
      <w:framePr w:wrap="around"/>
    </w:pPr>
    <w:r>
      <w:t xml:space="preserve">© Commonwealth of Australia, </w:t>
    </w:r>
    <w:r>
      <w:fldChar w:fldCharType="begin"/>
    </w:r>
    <w:r>
      <w:instrText xml:space="preserve"> DATE  \@ "yyyy"  \* MERGEFORMAT </w:instrText>
    </w:r>
    <w:r>
      <w:fldChar w:fldCharType="separate"/>
    </w:r>
    <w:r w:rsidR="00C34D9E">
      <w:rPr>
        <w:noProof/>
      </w:rPr>
      <w:t>2025</w:t>
    </w:r>
    <w:r>
      <w:fldChar w:fldCharType="end"/>
    </w:r>
    <w:r>
      <w:tab/>
    </w:r>
    <w:r>
      <w:fldChar w:fldCharType="begin"/>
    </w:r>
    <w:r>
      <w:instrText xml:space="preserve"> DOCPROPERTY  Author  \* MERGEFORMAT </w:instrText>
    </w:r>
    <w:r>
      <w:fldChar w:fldCharType="separate"/>
    </w:r>
    <w:r w:rsidR="00C34D9E">
      <w:t>Industry Skills Australia</w:t>
    </w:r>
    <w:r w:rsidR="00C34D9E">
      <w:fldChar w:fldCharType="end"/>
    </w:r>
  </w:p>
  <w:p w:rsidR="006F1CDC" w:rsidP="006F1C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1CDC" w:rsidRPr="00C34D9E" w:rsidP="00C34D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9E" w:rsidRPr="002D2AF8" w:rsidP="006F1CDC">
    <w:pPr>
      <w:pStyle w:val="Header"/>
      <w:framePr w:wrap="around"/>
    </w:pPr>
    <w:r>
      <w:fldChar w:fldCharType="begin"/>
    </w:r>
    <w:r>
      <w:instrText xml:space="preserve"> TITLE   \* MERGEFORMAT </w:instrText>
    </w:r>
    <w:r>
      <w:fldChar w:fldCharType="separate"/>
    </w:r>
    <w:r>
      <w:t>TLIO0003 Follow security procedures when working with goods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4D9E" w:rsidP="006F1C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DC" w:rsidRPr="002D2AF8" w:rsidP="006F1CDC">
    <w:pPr>
      <w:pStyle w:val="Header"/>
      <w:framePr w:wrap="around"/>
    </w:pPr>
    <w:r>
      <w:fldChar w:fldCharType="begin"/>
    </w:r>
    <w:r>
      <w:instrText xml:space="preserve"> TITLE   \* MERGEFORMAT </w:instrText>
    </w:r>
    <w:r>
      <w:fldChar w:fldCharType="separate"/>
    </w:r>
    <w:r w:rsidR="00C34D9E">
      <w:t>TLIO0003 Follow security procedures when working with goods and cargo</w:t>
    </w:r>
    <w:r w:rsidR="00C34D9E">
      <w:fldChar w:fldCharType="end"/>
    </w:r>
    <w:r>
      <w:tab/>
      <w:t xml:space="preserve">Date this document was generated: </w:t>
    </w:r>
    <w:r>
      <w:fldChar w:fldCharType="begin"/>
    </w:r>
    <w:r>
      <w:instrText xml:space="preserve"> CREATEDATE  \@ "d MMMM yyyy"  \* MERGEFORMAT </w:instrText>
    </w:r>
    <w:r>
      <w:fldChar w:fldCharType="separate"/>
    </w:r>
    <w:r w:rsidR="00C34D9E">
      <w:rPr>
        <w:noProof/>
      </w:rPr>
      <w:t>2 March 2025</w:t>
    </w:r>
    <w:r>
      <w:fldChar w:fldCharType="end"/>
    </w:r>
  </w:p>
  <w:p w:rsidR="006F1CDC" w:rsidP="006F1C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5EEA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7E0F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C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CDC"/>
    <w:pPr>
      <w:spacing w:before="360" w:after="60"/>
      <w:outlineLvl w:val="0"/>
    </w:pPr>
    <w:rPr>
      <w:sz w:val="32"/>
    </w:rPr>
  </w:style>
  <w:style w:type="paragraph" w:styleId="Heading2">
    <w:name w:val="heading 2"/>
    <w:basedOn w:val="HeadingBase"/>
    <w:next w:val="BodyText"/>
    <w:link w:val="Heading2Char"/>
    <w:qFormat/>
    <w:rsid w:val="006F1CDC"/>
    <w:pPr>
      <w:keepLines/>
      <w:spacing w:before="240" w:after="120"/>
      <w:outlineLvl w:val="1"/>
    </w:pPr>
    <w:rPr>
      <w:sz w:val="28"/>
      <w:szCs w:val="40"/>
    </w:rPr>
  </w:style>
  <w:style w:type="paragraph" w:styleId="Heading3">
    <w:name w:val="heading 3"/>
    <w:basedOn w:val="HeadingBase"/>
    <w:next w:val="BodyText"/>
    <w:link w:val="Heading3Char"/>
    <w:qFormat/>
    <w:rsid w:val="006F1CDC"/>
    <w:pPr>
      <w:spacing w:before="180" w:after="120"/>
      <w:outlineLvl w:val="2"/>
    </w:pPr>
    <w:rPr>
      <w:spacing w:val="-10"/>
      <w:kern w:val="32"/>
    </w:rPr>
  </w:style>
  <w:style w:type="paragraph" w:styleId="Heading4">
    <w:name w:val="heading 4"/>
    <w:basedOn w:val="HeadingBase"/>
    <w:next w:val="BodyText"/>
    <w:link w:val="Heading4Char"/>
    <w:qFormat/>
    <w:rsid w:val="006F1CDC"/>
    <w:pPr>
      <w:spacing w:before="160" w:after="120"/>
      <w:outlineLvl w:val="3"/>
    </w:pPr>
    <w:rPr>
      <w:sz w:val="22"/>
    </w:rPr>
  </w:style>
  <w:style w:type="paragraph" w:styleId="Heading5">
    <w:name w:val="heading 5"/>
    <w:basedOn w:val="HeadingBase"/>
    <w:next w:val="Normal"/>
    <w:link w:val="Heading5Char"/>
    <w:qFormat/>
    <w:rsid w:val="006F1CDC"/>
    <w:pPr>
      <w:spacing w:before="80"/>
      <w:outlineLvl w:val="4"/>
    </w:pPr>
    <w:rPr>
      <w:color w:val="918585"/>
      <w:sz w:val="20"/>
    </w:rPr>
  </w:style>
  <w:style w:type="paragraph" w:styleId="Heading6">
    <w:name w:val="heading 6"/>
    <w:basedOn w:val="HeadingBase"/>
    <w:next w:val="Normal"/>
    <w:link w:val="Heading6Char"/>
    <w:qFormat/>
    <w:rsid w:val="006F1CDC"/>
    <w:pPr>
      <w:spacing w:before="60"/>
      <w:outlineLvl w:val="5"/>
    </w:pPr>
    <w:rPr>
      <w:color w:val="918585"/>
      <w:sz w:val="20"/>
    </w:rPr>
  </w:style>
  <w:style w:type="paragraph" w:styleId="Heading7">
    <w:name w:val="heading 7"/>
    <w:basedOn w:val="Normal"/>
    <w:next w:val="Normal"/>
    <w:link w:val="Heading7Char"/>
    <w:qFormat/>
    <w:rsid w:val="006F1CDC"/>
    <w:pPr>
      <w:ind w:left="720"/>
      <w:outlineLvl w:val="6"/>
    </w:pPr>
    <w:rPr>
      <w:i/>
    </w:rPr>
  </w:style>
  <w:style w:type="paragraph" w:styleId="Heading8">
    <w:name w:val="heading 8"/>
    <w:basedOn w:val="Normal"/>
    <w:next w:val="Normal"/>
    <w:link w:val="Heading8Char"/>
    <w:qFormat/>
    <w:rsid w:val="006F1CDC"/>
    <w:pPr>
      <w:ind w:left="720"/>
      <w:outlineLvl w:val="7"/>
    </w:pPr>
    <w:rPr>
      <w:i/>
    </w:rPr>
  </w:style>
  <w:style w:type="paragraph" w:styleId="Heading9">
    <w:name w:val="heading 9"/>
    <w:basedOn w:val="Normal"/>
    <w:next w:val="Normal"/>
    <w:link w:val="Heading9Char"/>
    <w:qFormat/>
    <w:rsid w:val="006F1CDC"/>
    <w:pPr>
      <w:ind w:left="720"/>
      <w:outlineLvl w:val="8"/>
    </w:pPr>
    <w:rPr>
      <w:i/>
    </w:rPr>
  </w:style>
  <w:style w:type="character" w:default="1" w:styleId="DefaultParagraphFont">
    <w:name w:val="Default Paragraph Font"/>
    <w:uiPriority w:val="1"/>
    <w:unhideWhenUsed/>
    <w:rsid w:val="006F1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CDC"/>
  </w:style>
  <w:style w:type="character" w:customStyle="1" w:styleId="Heading1Char">
    <w:name w:val="Heading 1 Char"/>
    <w:basedOn w:val="DefaultParagraphFont"/>
    <w:link w:val="Heading1"/>
    <w:rsid w:val="006F1CDC"/>
    <w:rPr>
      <w:rFonts w:ascii="Times New Roman" w:eastAsia="Times New Roman" w:hAnsi="Times New Roman" w:cs="Times New Roman"/>
      <w:b/>
      <w:sz w:val="32"/>
      <w:szCs w:val="20"/>
      <w:lang w:eastAsia="en-US"/>
    </w:rPr>
  </w:style>
  <w:style w:type="paragraph" w:styleId="BodyText">
    <w:name w:val="Body Text"/>
    <w:basedOn w:val="Normal"/>
    <w:link w:val="BodyTextChar"/>
    <w:rsid w:val="006F1C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1CDC"/>
    <w:rPr>
      <w:rFonts w:ascii="Times New Roman" w:eastAsia="Times New Roman" w:hAnsi="Times New Roman" w:cs="Times New Roman"/>
      <w:sz w:val="24"/>
      <w:lang w:eastAsia="en-US"/>
    </w:rPr>
  </w:style>
  <w:style w:type="paragraph" w:styleId="ListBullet">
    <w:name w:val="List Bullet"/>
    <w:basedOn w:val="List"/>
    <w:rsid w:val="006F1CDC"/>
    <w:pPr>
      <w:numPr>
        <w:numId w:val="11"/>
      </w:numPr>
      <w:tabs>
        <w:tab w:val="clear" w:pos="340"/>
      </w:tabs>
      <w:spacing w:before="40" w:after="40"/>
    </w:pPr>
  </w:style>
  <w:style w:type="character" w:customStyle="1" w:styleId="SpecialBold">
    <w:name w:val="Special Bold"/>
    <w:basedOn w:val="DefaultParagraphFont"/>
    <w:rsid w:val="006F1CDC"/>
    <w:rPr>
      <w:b/>
      <w:spacing w:val="0"/>
    </w:rPr>
  </w:style>
  <w:style w:type="paragraph" w:customStyle="1" w:styleId="SuperHeading">
    <w:name w:val="SuperHeading"/>
    <w:basedOn w:val="Normal"/>
    <w:rsid w:val="006F1CDC"/>
    <w:pPr>
      <w:spacing w:before="240" w:after="120"/>
      <w:outlineLvl w:val="0"/>
    </w:pPr>
    <w:rPr>
      <w:rFonts w:ascii="Times New Roman" w:hAnsi="Times New Roman"/>
      <w:b/>
      <w:sz w:val="32"/>
    </w:rPr>
  </w:style>
  <w:style w:type="paragraph" w:customStyle="1" w:styleId="AllowPageBreak">
    <w:name w:val="AllowPageBreak"/>
    <w:rsid w:val="006F1C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1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C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C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CDC"/>
    <w:rPr>
      <w:rFonts w:ascii="Courier New" w:eastAsia="Times New Roman" w:hAnsi="Courier New" w:cs="Times New Roman"/>
      <w:i/>
      <w:szCs w:val="20"/>
      <w:lang w:eastAsia="en-US"/>
    </w:rPr>
  </w:style>
  <w:style w:type="paragraph" w:customStyle="1" w:styleId="HeadingBase">
    <w:name w:val="Heading Base"/>
    <w:rsid w:val="006F1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CDC"/>
    <w:pPr>
      <w:tabs>
        <w:tab w:val="right" w:leader="dot" w:pos="9072"/>
      </w:tabs>
      <w:ind w:left="567"/>
    </w:pPr>
    <w:rPr>
      <w:szCs w:val="22"/>
    </w:rPr>
  </w:style>
  <w:style w:type="paragraph" w:customStyle="1" w:styleId="TOCBase">
    <w:name w:val="TOC Base"/>
    <w:rsid w:val="006F1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CDC"/>
    <w:pPr>
      <w:tabs>
        <w:tab w:val="right" w:leader="dot" w:pos="9072"/>
      </w:tabs>
      <w:spacing w:before="40" w:after="40"/>
      <w:ind w:left="284"/>
    </w:pPr>
    <w:rPr>
      <w:rFonts w:ascii="Times New Roman" w:hAnsi="Times New Roman"/>
    </w:rPr>
  </w:style>
  <w:style w:type="paragraph" w:styleId="TOC1">
    <w:name w:val="toc 1"/>
    <w:basedOn w:val="TOCBase"/>
    <w:next w:val="Normal"/>
    <w:rsid w:val="006F1C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CDC"/>
    <w:rPr>
      <w:rFonts w:ascii="Times New Roman" w:eastAsia="Times New Roman" w:hAnsi="Times New Roman" w:cs="Times New Roman"/>
      <w:sz w:val="16"/>
      <w:lang w:eastAsia="en-US"/>
    </w:rPr>
  </w:style>
  <w:style w:type="paragraph" w:styleId="Title">
    <w:name w:val="Title"/>
    <w:basedOn w:val="HeadingBase"/>
    <w:link w:val="TitleChar"/>
    <w:qFormat/>
    <w:rsid w:val="006F1CDC"/>
    <w:pPr>
      <w:spacing w:before="5040"/>
      <w:jc w:val="center"/>
    </w:pPr>
    <w:rPr>
      <w:sz w:val="48"/>
      <w:szCs w:val="72"/>
      <w:lang w:val="en-US"/>
    </w:rPr>
  </w:style>
  <w:style w:type="character" w:customStyle="1" w:styleId="TitleChar">
    <w:name w:val="Title Char"/>
    <w:basedOn w:val="DefaultParagraphFont"/>
    <w:link w:val="Title"/>
    <w:rsid w:val="006F1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CDC"/>
    <w:pPr>
      <w:tabs>
        <w:tab w:val="left" w:pos="3600"/>
        <w:tab w:val="left" w:pos="3958"/>
      </w:tabs>
    </w:pPr>
  </w:style>
  <w:style w:type="paragraph" w:styleId="List">
    <w:name w:val="List"/>
    <w:basedOn w:val="BodyText"/>
    <w:next w:val="BodyText"/>
    <w:rsid w:val="006F1CDC"/>
    <w:pPr>
      <w:tabs>
        <w:tab w:val="left" w:pos="340"/>
      </w:tabs>
      <w:spacing w:before="60" w:after="60"/>
      <w:ind w:left="340" w:hanging="340"/>
    </w:pPr>
  </w:style>
  <w:style w:type="paragraph" w:customStyle="1" w:styleId="Note">
    <w:name w:val="Note"/>
    <w:basedOn w:val="BodyText"/>
    <w:rsid w:val="006F1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CDC"/>
    <w:pPr>
      <w:framePr w:wrap="auto" w:hAnchor="text" w:y="6049"/>
    </w:pPr>
    <w:rPr>
      <w:color w:val="000000"/>
      <w:sz w:val="40"/>
    </w:rPr>
  </w:style>
  <w:style w:type="paragraph" w:customStyle="1" w:styleId="TOCTitle">
    <w:name w:val="TOCTitle"/>
    <w:basedOn w:val="Heading1"/>
    <w:rsid w:val="006F1CDC"/>
    <w:pPr>
      <w:spacing w:after="240"/>
      <w:jc w:val="center"/>
      <w:outlineLvl w:val="9"/>
    </w:pPr>
    <w:rPr>
      <w:caps/>
    </w:rPr>
  </w:style>
  <w:style w:type="paragraph" w:customStyle="1" w:styleId="Version">
    <w:name w:val="Version"/>
    <w:rsid w:val="006F1C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1CDC"/>
    <w:pPr>
      <w:numPr>
        <w:numId w:val="12"/>
      </w:numPr>
      <w:tabs>
        <w:tab w:val="clear" w:pos="680"/>
      </w:tabs>
    </w:pPr>
  </w:style>
  <w:style w:type="paragraph" w:styleId="Index1">
    <w:name w:val="index 1"/>
    <w:basedOn w:val="Normal"/>
    <w:next w:val="Normal"/>
    <w:semiHidden/>
    <w:rsid w:val="006F1CDC"/>
    <w:pPr>
      <w:keepNext w:val="0"/>
      <w:tabs>
        <w:tab w:val="right" w:pos="4176"/>
      </w:tabs>
      <w:ind w:left="198" w:hanging="198"/>
    </w:pPr>
    <w:rPr>
      <w:rFonts w:ascii="Garamond" w:hAnsi="Garamond"/>
    </w:rPr>
  </w:style>
  <w:style w:type="paragraph" w:styleId="IndexHeading">
    <w:name w:val="index heading"/>
    <w:basedOn w:val="Normal"/>
    <w:next w:val="Index1"/>
    <w:semiHidden/>
    <w:rsid w:val="006F1CDC"/>
    <w:pPr>
      <w:spacing w:before="120" w:after="120"/>
    </w:pPr>
    <w:rPr>
      <w:rFonts w:ascii="Arial" w:hAnsi="Arial"/>
      <w:b/>
      <w:color w:val="918585"/>
      <w:sz w:val="24"/>
    </w:rPr>
  </w:style>
  <w:style w:type="paragraph" w:styleId="Header">
    <w:name w:val="header"/>
    <w:basedOn w:val="Normal"/>
    <w:link w:val="HeaderChar"/>
    <w:rsid w:val="006F1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CDC"/>
    <w:rPr>
      <w:rFonts w:ascii="Times New Roman" w:eastAsia="Times New Roman" w:hAnsi="Times New Roman" w:cs="Times New Roman"/>
      <w:sz w:val="16"/>
      <w:szCs w:val="20"/>
      <w:lang w:val="en-GB" w:eastAsia="en-US"/>
    </w:rPr>
  </w:style>
  <w:style w:type="paragraph" w:customStyle="1" w:styleId="Chapter">
    <w:name w:val="Chapter"/>
    <w:basedOn w:val="Normal"/>
    <w:rsid w:val="006F1CDC"/>
    <w:pPr>
      <w:spacing w:before="240"/>
    </w:pPr>
    <w:rPr>
      <w:rFonts w:ascii="Times New Roman" w:hAnsi="Times New Roman"/>
      <w:smallCaps/>
      <w:spacing w:val="80"/>
      <w:sz w:val="28"/>
    </w:rPr>
  </w:style>
  <w:style w:type="paragraph" w:customStyle="1" w:styleId="InChapter">
    <w:name w:val="InChapter"/>
    <w:basedOn w:val="Heading3"/>
    <w:rsid w:val="006F1CDC"/>
    <w:pPr>
      <w:spacing w:after="240"/>
      <w:outlineLvl w:val="9"/>
    </w:pPr>
    <w:rPr>
      <w:noProof/>
    </w:rPr>
  </w:style>
  <w:style w:type="paragraph" w:styleId="Index2">
    <w:name w:val="index 2"/>
    <w:basedOn w:val="Normal"/>
    <w:next w:val="Normal"/>
    <w:semiHidden/>
    <w:rsid w:val="006F1CDC"/>
    <w:pPr>
      <w:tabs>
        <w:tab w:val="right" w:pos="4176"/>
      </w:tabs>
      <w:ind w:left="568" w:hanging="284"/>
    </w:pPr>
    <w:rPr>
      <w:rFonts w:ascii="Garamond" w:hAnsi="Garamond"/>
    </w:rPr>
  </w:style>
  <w:style w:type="paragraph" w:customStyle="1" w:styleId="Byline">
    <w:name w:val="Byline"/>
    <w:rsid w:val="006F1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CDC"/>
    <w:pPr>
      <w:tabs>
        <w:tab w:val="clear" w:pos="3600"/>
        <w:tab w:val="clear" w:pos="3958"/>
      </w:tabs>
      <w:jc w:val="right"/>
    </w:pPr>
  </w:style>
  <w:style w:type="character" w:styleId="Emphasis">
    <w:name w:val="Emphasis"/>
    <w:basedOn w:val="DefaultParagraphFont"/>
    <w:qFormat/>
    <w:rsid w:val="006F1CDC"/>
    <w:rPr>
      <w:i/>
    </w:rPr>
  </w:style>
  <w:style w:type="paragraph" w:styleId="Caption">
    <w:name w:val="caption"/>
    <w:basedOn w:val="BodyText"/>
    <w:next w:val="Normal"/>
    <w:qFormat/>
    <w:rsid w:val="006F1CDC"/>
    <w:pPr>
      <w:framePr w:w="2268" w:hSpace="181" w:vSpace="181" w:wrap="around" w:vAnchor="text" w:hAnchor="page" w:x="1135" w:y="285" w:anchorLock="1"/>
    </w:pPr>
    <w:rPr>
      <w:i/>
    </w:rPr>
  </w:style>
  <w:style w:type="paragraph" w:customStyle="1" w:styleId="MiniTOCTitle">
    <w:name w:val="MiniTOCTitle"/>
    <w:basedOn w:val="Heading4"/>
    <w:rsid w:val="006F1CDC"/>
    <w:pPr>
      <w:spacing w:before="240"/>
      <w:outlineLvl w:val="9"/>
    </w:pPr>
    <w:rPr>
      <w:noProof/>
      <w:sz w:val="24"/>
    </w:rPr>
  </w:style>
  <w:style w:type="paragraph" w:customStyle="1" w:styleId="MiniTOCItem">
    <w:name w:val="MiniTOCItem"/>
    <w:basedOn w:val="ListBullet"/>
    <w:rsid w:val="006F1CDC"/>
    <w:pPr>
      <w:numPr>
        <w:numId w:val="0"/>
      </w:numPr>
      <w:tabs>
        <w:tab w:val="right" w:leader="dot" w:pos="6521"/>
      </w:tabs>
      <w:spacing w:before="0" w:after="0"/>
    </w:pPr>
  </w:style>
  <w:style w:type="paragraph" w:customStyle="1" w:styleId="TOFTitle">
    <w:name w:val="TOFTitle"/>
    <w:basedOn w:val="TOCTitle"/>
    <w:rsid w:val="006F1CDC"/>
  </w:style>
  <w:style w:type="paragraph" w:styleId="TableofFigures">
    <w:name w:val="table of figures"/>
    <w:basedOn w:val="Normal"/>
    <w:next w:val="Normal"/>
    <w:semiHidden/>
    <w:rsid w:val="006F1CDC"/>
    <w:pPr>
      <w:tabs>
        <w:tab w:val="right" w:leader="dot" w:pos="9072"/>
      </w:tabs>
      <w:ind w:left="970" w:hanging="403"/>
    </w:pPr>
    <w:rPr>
      <w:rFonts w:ascii="Times New Roman" w:hAnsi="Times New Roman"/>
      <w:b/>
    </w:rPr>
  </w:style>
  <w:style w:type="paragraph" w:styleId="ListNumber">
    <w:name w:val="List Number"/>
    <w:basedOn w:val="List"/>
    <w:rsid w:val="006F1CDC"/>
    <w:pPr>
      <w:numPr>
        <w:numId w:val="14"/>
      </w:numPr>
      <w:tabs>
        <w:tab w:val="clear" w:pos="340"/>
      </w:tabs>
    </w:pPr>
  </w:style>
  <w:style w:type="character" w:customStyle="1" w:styleId="WingdingSymbols">
    <w:name w:val="Wingding Symbols"/>
    <w:rsid w:val="006F1CDC"/>
    <w:rPr>
      <w:rFonts w:ascii="Wingdings" w:hAnsi="Wingdings"/>
    </w:rPr>
  </w:style>
  <w:style w:type="paragraph" w:customStyle="1" w:styleId="TableHeading">
    <w:name w:val="Table Heading"/>
    <w:basedOn w:val="HeadingBase"/>
    <w:rsid w:val="006F1CDC"/>
    <w:pPr>
      <w:keepLines/>
      <w:pBdr>
        <w:bottom w:val="single" w:sz="6" w:space="1" w:color="918585"/>
      </w:pBdr>
      <w:spacing w:before="240"/>
    </w:pPr>
  </w:style>
  <w:style w:type="character" w:customStyle="1" w:styleId="HotSpot">
    <w:name w:val="HotSpot"/>
    <w:rsid w:val="006F1CDC"/>
    <w:rPr>
      <w:color w:val="0033CC"/>
      <w:u w:val="none"/>
    </w:rPr>
  </w:style>
  <w:style w:type="paragraph" w:customStyle="1" w:styleId="BodyTextRight">
    <w:name w:val="Body Text Right"/>
    <w:basedOn w:val="BodyText"/>
    <w:rsid w:val="006F1CDC"/>
    <w:pPr>
      <w:spacing w:before="0" w:after="0"/>
      <w:jc w:val="right"/>
    </w:pPr>
  </w:style>
  <w:style w:type="paragraph" w:styleId="Index3">
    <w:name w:val="index 3"/>
    <w:basedOn w:val="ListNumber2"/>
    <w:next w:val="Normal"/>
    <w:semiHidden/>
    <w:rsid w:val="006F1CDC"/>
    <w:pPr>
      <w:numPr>
        <w:numId w:val="0"/>
      </w:numPr>
      <w:tabs>
        <w:tab w:val="right" w:leader="dot" w:pos="4176"/>
      </w:tabs>
    </w:pPr>
  </w:style>
  <w:style w:type="paragraph" w:styleId="ListNumber2">
    <w:name w:val="List Number 2"/>
    <w:basedOn w:val="List2"/>
    <w:rsid w:val="006F1CDC"/>
    <w:pPr>
      <w:numPr>
        <w:numId w:val="9"/>
      </w:numPr>
      <w:tabs>
        <w:tab w:val="clear" w:pos="1060"/>
      </w:tabs>
    </w:pPr>
  </w:style>
  <w:style w:type="paragraph" w:customStyle="1" w:styleId="MarginNote">
    <w:name w:val="Margin Note"/>
    <w:basedOn w:val="BodyText"/>
    <w:rsid w:val="006F1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C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CDC"/>
    <w:rPr>
      <w:sz w:val="32"/>
    </w:rPr>
  </w:style>
  <w:style w:type="paragraph" w:customStyle="1" w:styleId="HeadingProcedure">
    <w:name w:val="Heading Procedure"/>
    <w:basedOn w:val="HeadingBase"/>
    <w:next w:val="Normal"/>
    <w:rsid w:val="006F1CDC"/>
    <w:pPr>
      <w:tabs>
        <w:tab w:val="left" w:pos="0"/>
      </w:tabs>
      <w:spacing w:before="120" w:after="60"/>
    </w:pPr>
    <w:rPr>
      <w:i/>
      <w:color w:val="918585"/>
      <w:sz w:val="22"/>
    </w:rPr>
  </w:style>
  <w:style w:type="paragraph" w:customStyle="1" w:styleId="TableBodyText">
    <w:name w:val="Table Body Text"/>
    <w:basedOn w:val="BodyText"/>
    <w:rsid w:val="006F1CDC"/>
    <w:pPr>
      <w:spacing w:before="60" w:after="60"/>
    </w:pPr>
  </w:style>
  <w:style w:type="paragraph" w:styleId="ListContinue">
    <w:name w:val="List Continue"/>
    <w:basedOn w:val="List"/>
    <w:rsid w:val="006F1CDC"/>
    <w:pPr>
      <w:ind w:firstLine="0"/>
    </w:pPr>
  </w:style>
  <w:style w:type="paragraph" w:customStyle="1" w:styleId="ListNote">
    <w:name w:val="List Note"/>
    <w:basedOn w:val="List"/>
    <w:rsid w:val="006F1CDC"/>
    <w:pPr>
      <w:pBdr>
        <w:top w:val="single" w:sz="6" w:space="2" w:color="918585"/>
        <w:bottom w:val="single" w:sz="6" w:space="2" w:color="918585"/>
      </w:pBdr>
      <w:tabs>
        <w:tab w:val="left" w:pos="1021"/>
      </w:tabs>
      <w:ind w:firstLine="0"/>
    </w:pPr>
  </w:style>
  <w:style w:type="paragraph" w:customStyle="1" w:styleId="Warning">
    <w:name w:val="Warning"/>
    <w:basedOn w:val="BodyText"/>
    <w:rsid w:val="006F1CDC"/>
    <w:pPr>
      <w:shd w:val="clear" w:color="auto" w:fill="D9D9D9"/>
      <w:tabs>
        <w:tab w:val="left" w:pos="992"/>
      </w:tabs>
      <w:ind w:left="119" w:right="119"/>
    </w:pPr>
    <w:rPr>
      <w:sz w:val="20"/>
    </w:rPr>
  </w:style>
  <w:style w:type="paragraph" w:customStyle="1" w:styleId="MarginIcons">
    <w:name w:val="Margin Icons"/>
    <w:basedOn w:val="BodyText"/>
    <w:rsid w:val="006F1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CDC"/>
    <w:rPr>
      <w:rFonts w:ascii="Courier New" w:hAnsi="Courier New"/>
    </w:rPr>
  </w:style>
  <w:style w:type="paragraph" w:customStyle="1" w:styleId="NoteBullet">
    <w:name w:val="Note Bullet"/>
    <w:basedOn w:val="Note"/>
    <w:rsid w:val="006F1CDC"/>
    <w:pPr>
      <w:tabs>
        <w:tab w:val="clear" w:pos="680"/>
      </w:tabs>
      <w:spacing w:before="60" w:after="60"/>
    </w:pPr>
  </w:style>
  <w:style w:type="paragraph" w:customStyle="1" w:styleId="SubHeading2">
    <w:name w:val="SubHeading2"/>
    <w:basedOn w:val="HeadingBase"/>
    <w:rsid w:val="006F1CDC"/>
    <w:pPr>
      <w:spacing w:before="240" w:after="60"/>
    </w:pPr>
    <w:rPr>
      <w:sz w:val="20"/>
    </w:rPr>
  </w:style>
  <w:style w:type="paragraph" w:customStyle="1" w:styleId="SubHeading1">
    <w:name w:val="SubHeading1"/>
    <w:basedOn w:val="HeadingBase"/>
    <w:rsid w:val="006F1CDC"/>
    <w:pPr>
      <w:spacing w:before="240" w:after="60"/>
    </w:pPr>
    <w:rPr>
      <w:color w:val="918585"/>
      <w:sz w:val="22"/>
    </w:rPr>
  </w:style>
  <w:style w:type="paragraph" w:customStyle="1" w:styleId="SideHeading">
    <w:name w:val="Side Heading"/>
    <w:basedOn w:val="HeadingBase"/>
    <w:rsid w:val="006F1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CDC"/>
    <w:pPr>
      <w:numPr>
        <w:numId w:val="10"/>
      </w:numPr>
    </w:pPr>
  </w:style>
  <w:style w:type="paragraph" w:styleId="PlainText">
    <w:name w:val="Plain Text"/>
    <w:basedOn w:val="Normal"/>
    <w:link w:val="PlainTextChar"/>
    <w:rsid w:val="006F1CDC"/>
    <w:rPr>
      <w:sz w:val="20"/>
    </w:rPr>
  </w:style>
  <w:style w:type="character" w:customStyle="1" w:styleId="PlainTextChar">
    <w:name w:val="Plain Text Char"/>
    <w:basedOn w:val="DefaultParagraphFont"/>
    <w:link w:val="PlainText"/>
    <w:rsid w:val="006F1CDC"/>
    <w:rPr>
      <w:rFonts w:ascii="Courier New" w:eastAsia="Times New Roman" w:hAnsi="Courier New" w:cs="Times New Roman"/>
      <w:sz w:val="20"/>
      <w:szCs w:val="20"/>
      <w:lang w:eastAsia="en-US"/>
    </w:rPr>
  </w:style>
  <w:style w:type="character" w:customStyle="1" w:styleId="MenuOption">
    <w:name w:val="Menu Option"/>
    <w:basedOn w:val="DefaultParagraphFont"/>
    <w:rsid w:val="006F1CDC"/>
    <w:rPr>
      <w:b/>
      <w:smallCaps/>
    </w:rPr>
  </w:style>
  <w:style w:type="paragraph" w:customStyle="1" w:styleId="TableListNumber">
    <w:name w:val="Table List Number"/>
    <w:basedOn w:val="ListNumber"/>
    <w:rsid w:val="006F1CDC"/>
    <w:pPr>
      <w:numPr>
        <w:numId w:val="0"/>
      </w:numPr>
    </w:pPr>
  </w:style>
  <w:style w:type="paragraph" w:styleId="TOC4">
    <w:name w:val="toc 4"/>
    <w:basedOn w:val="TOCBase"/>
    <w:next w:val="Normal"/>
    <w:semiHidden/>
    <w:rsid w:val="006F1CDC"/>
    <w:pPr>
      <w:tabs>
        <w:tab w:val="right" w:leader="dot" w:pos="9071"/>
      </w:tabs>
      <w:ind w:left="1701"/>
    </w:pPr>
  </w:style>
  <w:style w:type="paragraph" w:customStyle="1" w:styleId="ListAlpha">
    <w:name w:val="List Alpha"/>
    <w:basedOn w:val="List"/>
    <w:rsid w:val="006F1CDC"/>
    <w:pPr>
      <w:numPr>
        <w:numId w:val="8"/>
      </w:numPr>
    </w:pPr>
  </w:style>
  <w:style w:type="paragraph" w:customStyle="1" w:styleId="ListAlpha2">
    <w:name w:val="List Alpha 2"/>
    <w:basedOn w:val="List2"/>
    <w:rsid w:val="006F1CDC"/>
    <w:pPr>
      <w:numPr>
        <w:numId w:val="7"/>
      </w:numPr>
    </w:pPr>
  </w:style>
  <w:style w:type="paragraph" w:styleId="List2">
    <w:name w:val="List 2"/>
    <w:basedOn w:val="BodyText"/>
    <w:rsid w:val="006F1CDC"/>
    <w:pPr>
      <w:tabs>
        <w:tab w:val="left" w:pos="680"/>
      </w:tabs>
      <w:spacing w:before="60" w:after="60"/>
      <w:ind w:left="680" w:hanging="340"/>
    </w:pPr>
  </w:style>
  <w:style w:type="paragraph" w:styleId="List3">
    <w:name w:val="List 3"/>
    <w:basedOn w:val="BodyText"/>
    <w:rsid w:val="006F1CDC"/>
    <w:pPr>
      <w:tabs>
        <w:tab w:val="left" w:pos="1021"/>
      </w:tabs>
      <w:spacing w:before="60" w:after="60"/>
      <w:ind w:left="1020" w:hanging="340"/>
    </w:pPr>
  </w:style>
  <w:style w:type="paragraph" w:styleId="List4">
    <w:name w:val="List 4"/>
    <w:basedOn w:val="BodyText"/>
    <w:rsid w:val="006F1CDC"/>
    <w:pPr>
      <w:tabs>
        <w:tab w:val="left" w:pos="1361"/>
      </w:tabs>
      <w:spacing w:before="60" w:after="60"/>
      <w:ind w:left="1361" w:hanging="340"/>
    </w:pPr>
  </w:style>
  <w:style w:type="paragraph" w:styleId="List5">
    <w:name w:val="List 5"/>
    <w:basedOn w:val="BodyText"/>
    <w:rsid w:val="006F1CDC"/>
    <w:pPr>
      <w:tabs>
        <w:tab w:val="left" w:pos="1701"/>
      </w:tabs>
      <w:spacing w:before="60" w:after="60"/>
      <w:ind w:left="1701" w:hanging="340"/>
    </w:pPr>
  </w:style>
  <w:style w:type="paragraph" w:styleId="ListBullet3">
    <w:name w:val="List Bullet 3"/>
    <w:basedOn w:val="List3"/>
    <w:rsid w:val="006F1CDC"/>
    <w:pPr>
      <w:numPr>
        <w:numId w:val="13"/>
      </w:numPr>
      <w:tabs>
        <w:tab w:val="clear" w:pos="1021"/>
      </w:tabs>
      <w:ind w:left="1037" w:hanging="357"/>
    </w:pPr>
  </w:style>
  <w:style w:type="paragraph" w:styleId="ListBullet4">
    <w:name w:val="List Bullet 4"/>
    <w:basedOn w:val="List4"/>
    <w:rsid w:val="006F1CDC"/>
    <w:pPr>
      <w:numPr>
        <w:numId w:val="2"/>
      </w:numPr>
      <w:tabs>
        <w:tab w:val="clear" w:pos="1361"/>
      </w:tabs>
    </w:pPr>
  </w:style>
  <w:style w:type="paragraph" w:styleId="ListBullet5">
    <w:name w:val="List Bullet 5"/>
    <w:basedOn w:val="List5"/>
    <w:rsid w:val="006F1CDC"/>
    <w:pPr>
      <w:numPr>
        <w:numId w:val="3"/>
      </w:numPr>
    </w:pPr>
  </w:style>
  <w:style w:type="paragraph" w:styleId="ListContinue2">
    <w:name w:val="List Continue 2"/>
    <w:basedOn w:val="List2"/>
    <w:rsid w:val="006F1CDC"/>
    <w:pPr>
      <w:ind w:firstLine="0"/>
    </w:pPr>
  </w:style>
  <w:style w:type="paragraph" w:styleId="ListContinue3">
    <w:name w:val="List Continue 3"/>
    <w:basedOn w:val="List3"/>
    <w:rsid w:val="006F1CDC"/>
    <w:pPr>
      <w:ind w:left="1021" w:firstLine="0"/>
    </w:pPr>
  </w:style>
  <w:style w:type="paragraph" w:styleId="ListContinue4">
    <w:name w:val="List Continue 4"/>
    <w:basedOn w:val="List4"/>
    <w:rsid w:val="006F1CDC"/>
    <w:pPr>
      <w:ind w:firstLine="0"/>
    </w:pPr>
  </w:style>
  <w:style w:type="paragraph" w:styleId="ListContinue5">
    <w:name w:val="List Continue 5"/>
    <w:basedOn w:val="List5"/>
    <w:rsid w:val="006F1CDC"/>
    <w:pPr>
      <w:ind w:firstLine="0"/>
    </w:pPr>
  </w:style>
  <w:style w:type="paragraph" w:styleId="ListNumber3">
    <w:name w:val="List Number 3"/>
    <w:basedOn w:val="List3"/>
    <w:rsid w:val="006F1CDC"/>
    <w:pPr>
      <w:numPr>
        <w:numId w:val="4"/>
      </w:numPr>
    </w:pPr>
  </w:style>
  <w:style w:type="paragraph" w:styleId="ListNumber4">
    <w:name w:val="List Number 4"/>
    <w:basedOn w:val="List4"/>
    <w:rsid w:val="006F1CDC"/>
    <w:pPr>
      <w:numPr>
        <w:numId w:val="5"/>
      </w:numPr>
    </w:pPr>
  </w:style>
  <w:style w:type="paragraph" w:styleId="ListNumber5">
    <w:name w:val="List Number 5"/>
    <w:basedOn w:val="List5"/>
    <w:rsid w:val="006F1CDC"/>
    <w:pPr>
      <w:numPr>
        <w:numId w:val="6"/>
      </w:numPr>
    </w:pPr>
  </w:style>
  <w:style w:type="paragraph" w:styleId="BlockText">
    <w:name w:val="Block Text"/>
    <w:basedOn w:val="Normal"/>
    <w:rsid w:val="006F1CDC"/>
    <w:pPr>
      <w:spacing w:after="120"/>
      <w:ind w:left="1440" w:right="1440"/>
    </w:pPr>
  </w:style>
  <w:style w:type="character" w:customStyle="1" w:styleId="Subscript">
    <w:name w:val="Subscript"/>
    <w:basedOn w:val="DefaultParagraphFont"/>
    <w:rsid w:val="006F1CDC"/>
    <w:rPr>
      <w:sz w:val="16"/>
      <w:vertAlign w:val="subscript"/>
    </w:rPr>
  </w:style>
  <w:style w:type="character" w:customStyle="1" w:styleId="Superscript">
    <w:name w:val="Superscript"/>
    <w:basedOn w:val="DefaultParagraphFont"/>
    <w:rsid w:val="006F1CDC"/>
    <w:rPr>
      <w:sz w:val="16"/>
      <w:vertAlign w:val="superscript"/>
    </w:rPr>
  </w:style>
  <w:style w:type="character" w:customStyle="1" w:styleId="Symbols">
    <w:name w:val="Symbols"/>
    <w:basedOn w:val="DefaultParagraphFont"/>
    <w:rsid w:val="006F1CDC"/>
    <w:rPr>
      <w:rFonts w:ascii="Symbol" w:hAnsi="Symbol"/>
    </w:rPr>
  </w:style>
  <w:style w:type="character" w:customStyle="1" w:styleId="MenuOptions">
    <w:name w:val="Menu Options"/>
    <w:basedOn w:val="DefaultParagraphFont"/>
    <w:rsid w:val="006F1CDC"/>
    <w:rPr>
      <w:rFonts w:ascii="Arial Narrow" w:hAnsi="Arial Narrow"/>
      <w:smallCaps/>
    </w:rPr>
  </w:style>
  <w:style w:type="character" w:customStyle="1" w:styleId="Buttons">
    <w:name w:val="Buttons"/>
    <w:basedOn w:val="DefaultParagraphFont"/>
    <w:rsid w:val="006F1CDC"/>
    <w:rPr>
      <w:b/>
    </w:rPr>
  </w:style>
  <w:style w:type="character" w:customStyle="1" w:styleId="Underlined">
    <w:name w:val="Underlined"/>
    <w:basedOn w:val="DefaultParagraphFont"/>
    <w:rsid w:val="006F1CDC"/>
    <w:rPr>
      <w:u w:val="single"/>
    </w:rPr>
  </w:style>
  <w:style w:type="paragraph" w:customStyle="1" w:styleId="TableBodyTextRight">
    <w:name w:val="Table Body Text Right"/>
    <w:basedOn w:val="TableBodyText"/>
    <w:rsid w:val="006F1CDC"/>
    <w:pPr>
      <w:widowControl w:val="0"/>
      <w:autoSpaceDE w:val="0"/>
      <w:autoSpaceDN w:val="0"/>
      <w:adjustRightInd w:val="0"/>
      <w:jc w:val="right"/>
    </w:pPr>
    <w:rPr>
      <w:rFonts w:cs="Arial"/>
      <w:szCs w:val="18"/>
    </w:rPr>
  </w:style>
  <w:style w:type="paragraph" w:customStyle="1" w:styleId="CopyrightText">
    <w:name w:val="Copyright Text"/>
    <w:basedOn w:val="BodyText"/>
    <w:rsid w:val="006F1CDC"/>
    <w:rPr>
      <w:sz w:val="18"/>
    </w:rPr>
  </w:style>
  <w:style w:type="paragraph" w:customStyle="1" w:styleId="BodySmallRight">
    <w:name w:val="Body Small Right"/>
    <w:basedOn w:val="BodyTextRight"/>
    <w:rsid w:val="006F1CDC"/>
    <w:rPr>
      <w:sz w:val="18"/>
      <w:szCs w:val="18"/>
    </w:rPr>
  </w:style>
  <w:style w:type="paragraph" w:customStyle="1" w:styleId="MarginEdition">
    <w:name w:val="Margin Edition"/>
    <w:basedOn w:val="MarginNote"/>
    <w:rsid w:val="006F1CDC"/>
    <w:pPr>
      <w:spacing w:before="0" w:after="0"/>
    </w:pPr>
    <w:rPr>
      <w:rFonts w:ascii="Times New Roman" w:hAnsi="Times New Roman"/>
      <w:color w:val="999999"/>
    </w:rPr>
  </w:style>
  <w:style w:type="paragraph" w:customStyle="1" w:styleId="Spacer">
    <w:name w:val="Spacer"/>
    <w:basedOn w:val="Normal"/>
    <w:rsid w:val="006F1CDC"/>
    <w:rPr>
      <w:sz w:val="2"/>
      <w:szCs w:val="2"/>
    </w:rPr>
  </w:style>
  <w:style w:type="character" w:customStyle="1" w:styleId="Small">
    <w:name w:val="Small"/>
    <w:basedOn w:val="DefaultParagraphFont"/>
    <w:rsid w:val="006F1CDC"/>
    <w:rPr>
      <w:sz w:val="16"/>
    </w:rPr>
  </w:style>
  <w:style w:type="paragraph" w:customStyle="1" w:styleId="WideTable">
    <w:name w:val="Wide Table"/>
    <w:basedOn w:val="Normal"/>
    <w:rsid w:val="006F1CDC"/>
    <w:pPr>
      <w:ind w:left="-1418"/>
    </w:pPr>
    <w:rPr>
      <w:sz w:val="2"/>
      <w:szCs w:val="2"/>
    </w:rPr>
  </w:style>
  <w:style w:type="character" w:styleId="PageNumber">
    <w:name w:val="page number"/>
    <w:basedOn w:val="DefaultParagraphFont"/>
    <w:rsid w:val="006F1CDC"/>
  </w:style>
  <w:style w:type="paragraph" w:styleId="Quote">
    <w:name w:val="Quote"/>
    <w:basedOn w:val="Heading1"/>
    <w:link w:val="QuoteChar"/>
    <w:qFormat/>
    <w:rsid w:val="006F1CDC"/>
    <w:rPr>
      <w:b w:val="0"/>
      <w:sz w:val="72"/>
      <w:szCs w:val="72"/>
      <w:lang w:val="en-NZ"/>
    </w:rPr>
  </w:style>
  <w:style w:type="character" w:customStyle="1" w:styleId="QuoteChar">
    <w:name w:val="Quote Char"/>
    <w:basedOn w:val="DefaultParagraphFont"/>
    <w:link w:val="Quote"/>
    <w:rsid w:val="006F1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CDC"/>
    <w:pPr>
      <w:pageBreakBefore/>
    </w:pPr>
  </w:style>
  <w:style w:type="paragraph" w:customStyle="1" w:styleId="Border">
    <w:name w:val="Border"/>
    <w:basedOn w:val="Normal"/>
    <w:qFormat/>
    <w:rsid w:val="006F1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CDC"/>
    <w:rPr>
      <w:b/>
      <w:bCs/>
      <w:i/>
      <w:iCs/>
      <w:color w:val="auto"/>
    </w:rPr>
  </w:style>
  <w:style w:type="paragraph" w:styleId="IntenseQuote">
    <w:name w:val="Intense Quote"/>
    <w:basedOn w:val="Normal"/>
    <w:next w:val="Normal"/>
    <w:link w:val="IntenseQuoteChar"/>
    <w:uiPriority w:val="30"/>
    <w:qFormat/>
    <w:rsid w:val="006F1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C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CDC"/>
    <w:rPr>
      <w:smallCaps/>
      <w:color w:val="auto"/>
      <w:u w:val="single"/>
    </w:rPr>
  </w:style>
  <w:style w:type="character" w:styleId="IntenseReference">
    <w:name w:val="Intense Reference"/>
    <w:basedOn w:val="DefaultParagraphFont"/>
    <w:uiPriority w:val="32"/>
    <w:qFormat/>
    <w:rsid w:val="006F1CDC"/>
    <w:rPr>
      <w:b/>
      <w:bCs/>
      <w:smallCaps/>
      <w:color w:val="auto"/>
      <w:spacing w:val="5"/>
      <w:u w:val="single"/>
    </w:rPr>
  </w:style>
  <w:style w:type="paragraph" w:customStyle="1" w:styleId="2ColumnHeading">
    <w:name w:val="2Column Heading"/>
    <w:basedOn w:val="BodyText"/>
    <w:qFormat/>
    <w:rsid w:val="006F1CDC"/>
    <w:pPr>
      <w:spacing w:after="60"/>
      <w:ind w:left="-2268"/>
    </w:pPr>
    <w:rPr>
      <w:b/>
    </w:rPr>
  </w:style>
  <w:style w:type="paragraph" w:customStyle="1" w:styleId="Heading1TOC">
    <w:name w:val="Heading1 TOC"/>
    <w:basedOn w:val="Normal"/>
    <w:qFormat/>
    <w:rsid w:val="006F1CDC"/>
    <w:pPr>
      <w:spacing w:before="240" w:after="120"/>
    </w:pPr>
    <w:rPr>
      <w:rFonts w:ascii="Times New Roman" w:hAnsi="Times New Roman"/>
      <w:b/>
      <w:sz w:val="32"/>
    </w:rPr>
  </w:style>
  <w:style w:type="paragraph" w:customStyle="1" w:styleId="Heading2TOC">
    <w:name w:val="Heading2 TOC"/>
    <w:basedOn w:val="Normal"/>
    <w:qFormat/>
    <w:rsid w:val="006F1CDC"/>
    <w:pPr>
      <w:spacing w:before="240" w:after="60"/>
    </w:pPr>
    <w:rPr>
      <w:rFonts w:ascii="Times New Roman" w:hAnsi="Times New Roman"/>
      <w:b/>
      <w:sz w:val="28"/>
    </w:rPr>
  </w:style>
  <w:style w:type="character" w:customStyle="1" w:styleId="Underline">
    <w:name w:val="Underline"/>
    <w:basedOn w:val="DefaultParagraphFont"/>
    <w:qFormat/>
    <w:rsid w:val="006F1CDC"/>
    <w:rPr>
      <w:u w:val="single"/>
    </w:rPr>
  </w:style>
  <w:style w:type="character" w:customStyle="1" w:styleId="BoldandItalics">
    <w:name w:val="Bold and Italics"/>
    <w:qFormat/>
    <w:rsid w:val="006F1CDC"/>
    <w:rPr>
      <w:b/>
      <w:i/>
      <w:u w:val="none"/>
    </w:rPr>
  </w:style>
  <w:style w:type="paragraph" w:styleId="BalloonText">
    <w:name w:val="Balloon Text"/>
    <w:basedOn w:val="Normal"/>
    <w:link w:val="BalloonTextChar"/>
    <w:rsid w:val="006F1CDC"/>
    <w:rPr>
      <w:rFonts w:ascii="Tahoma" w:hAnsi="Tahoma" w:cs="Tahoma"/>
      <w:sz w:val="16"/>
      <w:szCs w:val="16"/>
    </w:rPr>
  </w:style>
  <w:style w:type="character" w:customStyle="1" w:styleId="BalloonTextChar">
    <w:name w:val="Balloon Text Char"/>
    <w:basedOn w:val="DefaultParagraphFont"/>
    <w:link w:val="BalloonText"/>
    <w:rsid w:val="006F1C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C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1C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CDC"/>
    <w:rPr>
      <w:b/>
      <w:color w:val="660033"/>
      <w:spacing w:val="0"/>
    </w:rPr>
  </w:style>
  <w:style w:type="paragraph" w:customStyle="1" w:styleId="Nameditemlist">
    <w:name w:val="Named item list"/>
    <w:basedOn w:val="BodyText"/>
    <w:qFormat/>
    <w:rsid w:val="006F1CDC"/>
    <w:pPr>
      <w:tabs>
        <w:tab w:val="left" w:pos="2835"/>
      </w:tabs>
      <w:ind w:left="2835" w:hanging="2835"/>
    </w:pPr>
  </w:style>
  <w:style w:type="paragraph" w:customStyle="1" w:styleId="BodyTextnopadding">
    <w:name w:val="Body Text no padding"/>
    <w:basedOn w:val="BodyText"/>
    <w:qFormat/>
    <w:rsid w:val="006F1CDC"/>
    <w:pPr>
      <w:spacing w:before="0" w:after="0"/>
    </w:pPr>
  </w:style>
  <w:style w:type="paragraph" w:customStyle="1" w:styleId="BodyTextBold">
    <w:name w:val="Body Text Bold"/>
    <w:basedOn w:val="BodyText"/>
    <w:qFormat/>
    <w:rsid w:val="006F1CDC"/>
    <w:rPr>
      <w:b/>
    </w:rPr>
  </w:style>
  <w:style w:type="character" w:styleId="Hyperlink">
    <w:name w:val="Hyperlink"/>
    <w:basedOn w:val="DefaultParagraphFont"/>
    <w:uiPriority w:val="99"/>
    <w:unhideWhenUsed/>
    <w:rsid w:val="00C34D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7384</Characters>
  <Application>Microsoft Office Word</Application>
  <DocSecurity>0</DocSecurity>
  <Lines>254</Lines>
  <Paragraphs>137</Paragraphs>
  <ScaleCrop>false</ScaleCrop>
  <Company>Author-it Software Corporation Ltd.</Company>
  <LinksUpToDate>false</LinksUpToDate>
  <CharactersWithSpaces>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TLIO0003 Follow security procedures when working with goods and cargo</dc:title>
  <dc:subject>Approved</dc:subject>
  <dc:creator>Industry Skills Australia</dc:creator>
  <cp:keywords>Release: 1</cp:keywords>
  <dc:description>Review Date: 12 April 2008</dc:description>
  <cp:lastModifiedBy>HSD_TPCMSd.prod</cp:lastModifiedBy>
  <cp:revision>3</cp:revision>
  <dcterms:created xsi:type="dcterms:W3CDTF">2025-03-01T17:58:00Z</dcterms:created>
  <dcterms:modified xsi:type="dcterms:W3CDTF">2025-03-01T17:58:00Z</dcterms:modified>
</cp:coreProperties>
</file>