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0B1" w:rsidP="004D2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TLIO0002 Apply and monitor workplace security procedures</w:t>
      </w:r>
      <w:r>
        <w:fldChar w:fldCharType="end"/>
      </w:r>
    </w:p>
    <w:p w:rsidR="004D20B1" w:rsidP="004D20B1">
      <w:pPr>
        <w:pStyle w:val="Version"/>
        <w:sectPr w:rsidSect="004A6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268" w:rsidP="004A6268">
      <w:pPr>
        <w:pStyle w:val="SuperHeading"/>
      </w:pPr>
      <w:r w:rsidRPr="004A6268">
        <w:t>TLIO0002 Apply and monitor workplace security procedures</w:t>
      </w:r>
    </w:p>
    <w:p w:rsidR="00000000" w:rsidRPr="004A6268" w:rsidP="004A6268">
      <w:pPr>
        <w:pStyle w:val="Heading1"/>
      </w:pPr>
      <w:bookmarkStart w:id="1" w:name="O_1067503"/>
      <w:bookmarkEnd w:id="1"/>
      <w:r w:rsidRPr="004A62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 xml:space="preserve">Release 1. </w:t>
            </w:r>
            <w:r w:rsidRPr="004A6268">
              <w:t>This is the first release of this unit of competency in the TLI Transport and Logistics Training Package.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2" w:name="O_1067504"/>
      <w:bookmarkEnd w:id="2"/>
      <w:r w:rsidRPr="004A62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t>This unit involves the skills and knowledge required to apply and m</w:t>
            </w:r>
            <w:r w:rsidRPr="004A6268">
              <w:t>onitor security procedures in accordance with workplace and regulatory requirements within the transport and logistics industry.</w:t>
            </w:r>
          </w:p>
          <w:p w:rsidR="00000000" w:rsidRPr="004A6268" w:rsidP="004A6268">
            <w:pPr>
              <w:pStyle w:val="BodyText"/>
            </w:pPr>
            <w:r w:rsidRPr="004A6268">
              <w:t>It includes checking and monitoring personnel and goods entering the worksite, carrying out surveillance of work areas, dealing</w:t>
            </w:r>
            <w:r w:rsidRPr="004A6268">
              <w:t xml:space="preserve"> with security incidents and emergencies, and completing required reports and surveillance documentation.</w:t>
            </w:r>
          </w:p>
          <w:p w:rsidR="00000000" w:rsidRPr="004A6268" w:rsidP="004A6268">
            <w:pPr>
              <w:pStyle w:val="BodyText"/>
            </w:pPr>
            <w:r w:rsidRPr="004A6268">
              <w:t>Work is performed under some supervision, generally within a team environment.</w:t>
            </w:r>
          </w:p>
          <w:p w:rsidR="00000000" w:rsidRPr="004A6268" w:rsidP="004A6268">
            <w:pPr>
              <w:pStyle w:val="BodyText"/>
            </w:pPr>
            <w:r w:rsidRPr="004A6268">
              <w:t>No licensing, legislative or certification requirements apply to this u</w:t>
            </w:r>
            <w:r w:rsidRPr="004A6268">
              <w:t>nit at the time of publication.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3" w:name="O_1067505"/>
      <w:bookmarkEnd w:id="3"/>
      <w:r w:rsidRPr="004A62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t>Not applicable.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4" w:name="O_1067506"/>
      <w:bookmarkEnd w:id="4"/>
      <w:r w:rsidRPr="004A62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t>O – Security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5" w:name="O_1067507"/>
      <w:bookmarkEnd w:id="5"/>
      <w:r w:rsidRPr="004A62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t>Not applicable.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6" w:name="O_1067508"/>
      <w:bookmarkEnd w:id="6"/>
      <w:r w:rsidRPr="004A62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PERFORMANCE CRITERIA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Performance criteria describe the performance needed to demonstrate achievement of the element.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>Check and monitor personnel and goods entering the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Entry and exit of personnel and vehicles are checked to prevent improper entry or unlawful removal of goods and cargo, in accordance with workplace operational procedures and statutory authority regulations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Potential breaches of security are observe</w:t>
            </w:r>
            <w:r w:rsidRPr="004A6268">
              <w:t>d and reported to appropriate personnel in accordance with workplace procedures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>Carry out surveillance of work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Surveillance of work areas is undertaken in accordance with workplace procedures and regulatory requirements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Hazards are identified, risks assessed and control measures implemented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Breaches of security are identified, action initiated and incident reported to appropriate personnel in accordance with workplace procedures and regulatory requirements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>Respo</w:t>
            </w:r>
            <w:r w:rsidRPr="004A6268">
              <w:rPr>
                <w:rStyle w:val="SpecialBold"/>
              </w:rPr>
              <w:t>nd to security incidents or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Security incidents or emergencies are dealt with in accordance with regulations and workplace procedures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Appropriate agency services are contacted in accordance with workplace procedures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 xml:space="preserve">Agency services are supported 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rPr>
                <w:rStyle w:val="SpecialBold"/>
              </w:rPr>
              <w:t>Complete required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t>Surveillance documentation and reports are completed and despatched to relevant persons in accordance with workplace procedures and regulatory requirements</w:t>
            </w:r>
          </w:p>
        </w:tc>
      </w:tr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268">
            <w:pPr>
              <w:pStyle w:val="BodyText"/>
              <w:rPr>
                <w:lang w:val="en-NZ"/>
              </w:rPr>
            </w:pPr>
            <w:r w:rsidRPr="004A626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t>Incident documentation in completed in accordance with workplace procedures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7" w:name="O_1067509"/>
      <w:bookmarkEnd w:id="7"/>
      <w:r w:rsidRPr="004A62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t>Foundation skills essential to performance are explicit in the performance criteria of this unit of competency.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8" w:name="O_1067510"/>
      <w:bookmarkEnd w:id="8"/>
      <w:r w:rsidRPr="004A62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t>Range is restricted to essential operating conditions and any other variables essential to the work environment.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9" w:name="O_1067511"/>
      <w:bookmarkEnd w:id="9"/>
      <w:r w:rsidRPr="004A62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2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268" w:rsidP="004A6268">
            <w:pPr>
              <w:pStyle w:val="BodyText"/>
            </w:pPr>
            <w:r w:rsidRPr="004A6268">
              <w:t xml:space="preserve">This unit replaces and is equivalent to TLIO3016 Apply and monitor workplace </w:t>
            </w:r>
            <w:r w:rsidRPr="004A6268">
              <w:t>security procedures.</w:t>
            </w:r>
          </w:p>
        </w:tc>
      </w:tr>
    </w:tbl>
    <w:p w:rsidR="00000000" w:rsidRPr="004A6268" w:rsidP="004A6268">
      <w:pPr>
        <w:pStyle w:val="NoPaddingFontSize1"/>
      </w:pPr>
    </w:p>
    <w:p w:rsidR="00000000" w:rsidRPr="004A6268" w:rsidP="004A6268">
      <w:pPr>
        <w:pStyle w:val="AllowPageBreak"/>
      </w:pPr>
    </w:p>
    <w:p w:rsidR="00000000" w:rsidRPr="004A6268" w:rsidP="004A6268">
      <w:pPr>
        <w:pStyle w:val="Heading1"/>
      </w:pPr>
      <w:bookmarkStart w:id="10" w:name="O_1067518"/>
      <w:bookmarkEnd w:id="10"/>
      <w:r w:rsidRPr="004A6268">
        <w:t>Links</w:t>
      </w:r>
    </w:p>
    <w:p w:rsidR="00000000" w:rsidRPr="004A6268" w:rsidP="004D20B1">
      <w:pPr>
        <w:pStyle w:val="BodyText"/>
      </w:pPr>
      <w:r w:rsidRPr="004A62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08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6268" w:rsidP="004A6268"/>
    <w:sectPr w:rsidSect="004A62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68" w:rsidRPr="004D20B1" w:rsidP="004D2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B1" w:rsidP="004A6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20B1" w:rsidP="004A6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20B1" w:rsidP="004A6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268" w:rsidRPr="004D20B1" w:rsidP="004D2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B1" w:rsidRPr="002D2AF8" w:rsidP="004A6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TLIO0002 Apply and monitor workplace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D20B1" w:rsidP="004A6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268"/>
  </w:style>
  <w:style w:type="character" w:customStyle="1" w:styleId="Heading1Char">
    <w:name w:val="Heading 1 Char"/>
    <w:basedOn w:val="DefaultParagraphFont"/>
    <w:link w:val="Heading1"/>
    <w:rsid w:val="004A6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2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6268"/>
    <w:rPr>
      <w:b/>
      <w:spacing w:val="0"/>
    </w:rPr>
  </w:style>
  <w:style w:type="paragraph" w:customStyle="1" w:styleId="SuperHeading">
    <w:name w:val="SuperHeading"/>
    <w:basedOn w:val="Normal"/>
    <w:rsid w:val="004A6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6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2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62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6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2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2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268"/>
    <w:rPr>
      <w:i/>
    </w:rPr>
  </w:style>
  <w:style w:type="paragraph" w:styleId="Caption">
    <w:name w:val="caption"/>
    <w:basedOn w:val="BodyText"/>
    <w:next w:val="Normal"/>
    <w:qFormat/>
    <w:rsid w:val="004A6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268"/>
  </w:style>
  <w:style w:type="paragraph" w:styleId="TableofFigures">
    <w:name w:val="table of figures"/>
    <w:basedOn w:val="Normal"/>
    <w:next w:val="Normal"/>
    <w:semiHidden/>
    <w:rsid w:val="004A6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2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6268"/>
    <w:rPr>
      <w:rFonts w:ascii="Wingdings" w:hAnsi="Wingdings"/>
    </w:rPr>
  </w:style>
  <w:style w:type="paragraph" w:customStyle="1" w:styleId="TableHeading">
    <w:name w:val="Table Heading"/>
    <w:basedOn w:val="HeadingBase"/>
    <w:rsid w:val="004A6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268"/>
    <w:rPr>
      <w:color w:val="0033CC"/>
      <w:u w:val="none"/>
    </w:rPr>
  </w:style>
  <w:style w:type="paragraph" w:customStyle="1" w:styleId="BodyTextRight">
    <w:name w:val="Body Text Right"/>
    <w:basedOn w:val="BodyText"/>
    <w:rsid w:val="004A6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2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268"/>
    <w:rPr>
      <w:sz w:val="32"/>
    </w:rPr>
  </w:style>
  <w:style w:type="paragraph" w:customStyle="1" w:styleId="HeadingProcedure">
    <w:name w:val="Heading Procedure"/>
    <w:basedOn w:val="HeadingBase"/>
    <w:next w:val="Normal"/>
    <w:rsid w:val="004A6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268"/>
    <w:pPr>
      <w:spacing w:before="60" w:after="60"/>
    </w:pPr>
  </w:style>
  <w:style w:type="paragraph" w:styleId="ListContinue">
    <w:name w:val="List Continue"/>
    <w:basedOn w:val="List"/>
    <w:rsid w:val="004A6268"/>
    <w:pPr>
      <w:ind w:firstLine="0"/>
    </w:pPr>
  </w:style>
  <w:style w:type="paragraph" w:customStyle="1" w:styleId="ListNote">
    <w:name w:val="List Note"/>
    <w:basedOn w:val="List"/>
    <w:rsid w:val="004A6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268"/>
    <w:rPr>
      <w:rFonts w:ascii="Courier New" w:hAnsi="Courier New"/>
    </w:rPr>
  </w:style>
  <w:style w:type="paragraph" w:customStyle="1" w:styleId="NoteBullet">
    <w:name w:val="Note Bullet"/>
    <w:basedOn w:val="Note"/>
    <w:rsid w:val="004A6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2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6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268"/>
    <w:rPr>
      <w:b/>
      <w:smallCaps/>
    </w:rPr>
  </w:style>
  <w:style w:type="paragraph" w:customStyle="1" w:styleId="TableListNumber">
    <w:name w:val="Table List Number"/>
    <w:basedOn w:val="ListNumber"/>
    <w:rsid w:val="004A6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268"/>
    <w:pPr>
      <w:numPr>
        <w:numId w:val="7"/>
      </w:numPr>
    </w:pPr>
  </w:style>
  <w:style w:type="paragraph" w:customStyle="1" w:styleId="ListAlpha2">
    <w:name w:val="List Alpha 2"/>
    <w:basedOn w:val="List2"/>
    <w:rsid w:val="004A6268"/>
    <w:pPr>
      <w:numPr>
        <w:numId w:val="6"/>
      </w:numPr>
    </w:pPr>
  </w:style>
  <w:style w:type="paragraph" w:styleId="List2">
    <w:name w:val="List 2"/>
    <w:basedOn w:val="BodyText"/>
    <w:rsid w:val="004A6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2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2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6268"/>
    <w:pPr>
      <w:numPr>
        <w:numId w:val="2"/>
      </w:numPr>
    </w:pPr>
  </w:style>
  <w:style w:type="paragraph" w:styleId="ListContinue2">
    <w:name w:val="List Continue 2"/>
    <w:basedOn w:val="List2"/>
    <w:rsid w:val="004A6268"/>
    <w:pPr>
      <w:ind w:firstLine="0"/>
    </w:pPr>
  </w:style>
  <w:style w:type="paragraph" w:styleId="ListContinue3">
    <w:name w:val="List Continue 3"/>
    <w:basedOn w:val="List3"/>
    <w:rsid w:val="004A6268"/>
    <w:pPr>
      <w:ind w:left="1021" w:firstLine="0"/>
    </w:pPr>
  </w:style>
  <w:style w:type="paragraph" w:styleId="ListContinue4">
    <w:name w:val="List Continue 4"/>
    <w:basedOn w:val="List4"/>
    <w:rsid w:val="004A6268"/>
    <w:pPr>
      <w:ind w:firstLine="0"/>
    </w:pPr>
  </w:style>
  <w:style w:type="paragraph" w:styleId="ListContinue5">
    <w:name w:val="List Continue 5"/>
    <w:basedOn w:val="List5"/>
    <w:rsid w:val="004A6268"/>
    <w:pPr>
      <w:ind w:firstLine="0"/>
    </w:pPr>
  </w:style>
  <w:style w:type="paragraph" w:styleId="ListNumber3">
    <w:name w:val="List Number 3"/>
    <w:basedOn w:val="List3"/>
    <w:rsid w:val="004A6268"/>
    <w:pPr>
      <w:numPr>
        <w:numId w:val="3"/>
      </w:numPr>
    </w:pPr>
  </w:style>
  <w:style w:type="paragraph" w:styleId="ListNumber4">
    <w:name w:val="List Number 4"/>
    <w:basedOn w:val="List4"/>
    <w:rsid w:val="004A6268"/>
    <w:pPr>
      <w:numPr>
        <w:numId w:val="4"/>
      </w:numPr>
    </w:pPr>
  </w:style>
  <w:style w:type="paragraph" w:styleId="ListNumber5">
    <w:name w:val="List Number 5"/>
    <w:basedOn w:val="List5"/>
    <w:rsid w:val="004A6268"/>
    <w:pPr>
      <w:numPr>
        <w:numId w:val="5"/>
      </w:numPr>
    </w:pPr>
  </w:style>
  <w:style w:type="paragraph" w:styleId="BlockText">
    <w:name w:val="Block Text"/>
    <w:basedOn w:val="Normal"/>
    <w:rsid w:val="004A6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268"/>
    <w:rPr>
      <w:sz w:val="16"/>
      <w:vertAlign w:val="superscript"/>
    </w:rPr>
  </w:style>
  <w:style w:type="character" w:customStyle="1" w:styleId="Symbols">
    <w:name w:val="Symbols"/>
    <w:basedOn w:val="DefaultParagraphFont"/>
    <w:rsid w:val="004A6268"/>
    <w:rPr>
      <w:rFonts w:ascii="Symbol" w:hAnsi="Symbol"/>
    </w:rPr>
  </w:style>
  <w:style w:type="character" w:customStyle="1" w:styleId="MenuOptions">
    <w:name w:val="Menu Options"/>
    <w:basedOn w:val="DefaultParagraphFont"/>
    <w:rsid w:val="004A6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268"/>
    <w:rPr>
      <w:b/>
    </w:rPr>
  </w:style>
  <w:style w:type="character" w:customStyle="1" w:styleId="Underlined">
    <w:name w:val="Underlined"/>
    <w:basedOn w:val="DefaultParagraphFont"/>
    <w:rsid w:val="004A6268"/>
    <w:rPr>
      <w:u w:val="single"/>
    </w:rPr>
  </w:style>
  <w:style w:type="paragraph" w:customStyle="1" w:styleId="TableBodyTextRight">
    <w:name w:val="Table Body Text Right"/>
    <w:basedOn w:val="TableBodyText"/>
    <w:rsid w:val="004A6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268"/>
    <w:rPr>
      <w:sz w:val="18"/>
    </w:rPr>
  </w:style>
  <w:style w:type="paragraph" w:customStyle="1" w:styleId="BodySmallRight">
    <w:name w:val="Body Small Right"/>
    <w:basedOn w:val="BodyTextRight"/>
    <w:rsid w:val="004A6268"/>
    <w:rPr>
      <w:sz w:val="18"/>
      <w:szCs w:val="18"/>
    </w:rPr>
  </w:style>
  <w:style w:type="paragraph" w:customStyle="1" w:styleId="MarginEdition">
    <w:name w:val="Margin Edition"/>
    <w:basedOn w:val="MarginNote"/>
    <w:rsid w:val="004A6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268"/>
    <w:rPr>
      <w:sz w:val="2"/>
      <w:szCs w:val="2"/>
    </w:rPr>
  </w:style>
  <w:style w:type="character" w:customStyle="1" w:styleId="Small">
    <w:name w:val="Small"/>
    <w:basedOn w:val="DefaultParagraphFont"/>
    <w:rsid w:val="004A6268"/>
    <w:rPr>
      <w:sz w:val="16"/>
    </w:rPr>
  </w:style>
  <w:style w:type="paragraph" w:customStyle="1" w:styleId="WideTable">
    <w:name w:val="Wide Table"/>
    <w:basedOn w:val="Normal"/>
    <w:rsid w:val="004A6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268"/>
  </w:style>
  <w:style w:type="paragraph" w:styleId="Quote">
    <w:name w:val="Quote"/>
    <w:basedOn w:val="Heading1"/>
    <w:link w:val="QuoteChar"/>
    <w:qFormat/>
    <w:rsid w:val="004A6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268"/>
    <w:pPr>
      <w:pageBreakBefore/>
    </w:pPr>
  </w:style>
  <w:style w:type="paragraph" w:customStyle="1" w:styleId="Border">
    <w:name w:val="Border"/>
    <w:basedOn w:val="Normal"/>
    <w:qFormat/>
    <w:rsid w:val="004A6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268"/>
    <w:rPr>
      <w:u w:val="single"/>
    </w:rPr>
  </w:style>
  <w:style w:type="character" w:customStyle="1" w:styleId="BoldandItalics">
    <w:name w:val="Bold and Italics"/>
    <w:qFormat/>
    <w:rsid w:val="004A6268"/>
    <w:rPr>
      <w:b/>
      <w:i/>
      <w:u w:val="none"/>
    </w:rPr>
  </w:style>
  <w:style w:type="paragraph" w:styleId="BalloonText">
    <w:name w:val="Balloon Text"/>
    <w:basedOn w:val="Normal"/>
    <w:link w:val="BalloonTextChar"/>
    <w:rsid w:val="004A6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268"/>
    <w:pPr>
      <w:spacing w:before="0" w:after="0"/>
    </w:pPr>
  </w:style>
  <w:style w:type="paragraph" w:customStyle="1" w:styleId="BodyTextBold">
    <w:name w:val="Body Text Bold"/>
    <w:basedOn w:val="BodyText"/>
    <w:qFormat/>
    <w:rsid w:val="004A6268"/>
    <w:rPr>
      <w:b/>
    </w:rPr>
  </w:style>
  <w:style w:type="character" w:styleId="Hyperlink">
    <w:name w:val="Hyperlink"/>
    <w:basedOn w:val="DefaultParagraphFont"/>
    <w:uiPriority w:val="99"/>
    <w:unhideWhenUsed/>
    <w:rsid w:val="004D2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2855</Characters>
  <Application>Microsoft Office Word</Application>
  <DocSecurity>0</DocSecurity>
  <Lines>129</Lines>
  <Paragraphs>70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TLIO0002 Apply and monitor workplace security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