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04E8" w:rsidP="00BD04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TLILIC3017 Licence to drive a heavy combination vehicle</w:t>
      </w:r>
      <w:r>
        <w:fldChar w:fldCharType="end"/>
      </w:r>
    </w:p>
    <w:p w:rsidR="00BD04E8" w:rsidP="00BD04E8">
      <w:pPr>
        <w:pStyle w:val="Version"/>
        <w:sectPr w:rsidSect="00C81F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81FC1" w:rsidP="00C81FC1">
      <w:pPr>
        <w:pStyle w:val="SuperHeading"/>
      </w:pPr>
      <w:r w:rsidRPr="00C81FC1">
        <w:t>TLILIC3017 Licence to drive a heavy combination vehicle</w:t>
      </w:r>
    </w:p>
    <w:p w:rsidR="00000000" w:rsidRPr="00C81FC1" w:rsidP="00C81FC1">
      <w:pPr>
        <w:pStyle w:val="Heading1"/>
      </w:pPr>
      <w:bookmarkStart w:id="1" w:name="O_940153"/>
      <w:bookmarkEnd w:id="1"/>
      <w:r w:rsidRPr="00C81F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0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C1" w:rsidP="00C81FC1">
            <w:pPr>
              <w:pStyle w:val="BodyText"/>
            </w:pPr>
            <w:r w:rsidRPr="00C81FC1">
              <w:rPr>
                <w:rStyle w:val="SpecialBold"/>
              </w:rPr>
              <w:t>Release 2.</w:t>
            </w:r>
            <w:r w:rsidRPr="00C81FC1">
              <w:t xml:space="preserve"> This is the second release of this unit of competency in the TLI Transport and Logistics Training Package.</w:t>
            </w:r>
          </w:p>
          <w:p w:rsidR="00000000" w:rsidRPr="00C81FC1" w:rsidP="00C81FC1">
            <w:pPr>
              <w:pStyle w:val="BodyText"/>
            </w:pPr>
            <w:r w:rsidRPr="00C81FC1">
              <w:t>Modification of assessment conditions to remove an implementation barrier.</w:t>
            </w:r>
          </w:p>
          <w:p w:rsidR="00000000" w:rsidRPr="00C81FC1" w:rsidP="00C81FC1">
            <w:pPr>
              <w:pStyle w:val="BodyText"/>
            </w:pPr>
            <w:r w:rsidRPr="00C81FC1">
              <w:rPr>
                <w:rStyle w:val="SpecialBold"/>
              </w:rPr>
              <w:t>Release 1.</w:t>
            </w:r>
            <w:r w:rsidRPr="00C81FC1">
              <w:t xml:space="preserve"> This is the fir</w:t>
            </w:r>
            <w:r w:rsidRPr="00C81FC1">
              <w:t>st release of this unit of competency in the TLI Transport and Logistics Training Package.</w:t>
            </w:r>
          </w:p>
        </w:tc>
      </w:tr>
    </w:tbl>
    <w:p w:rsidR="00000000" w:rsidRPr="00C81FC1" w:rsidP="00C81FC1">
      <w:pPr>
        <w:pStyle w:val="NoPaddingFontSize1"/>
      </w:pPr>
    </w:p>
    <w:p w:rsidR="00000000" w:rsidRPr="00C81FC1" w:rsidP="00C81FC1">
      <w:pPr>
        <w:pStyle w:val="AllowPageBreak"/>
      </w:pPr>
    </w:p>
    <w:p w:rsidR="00000000" w:rsidRPr="00C81FC1" w:rsidP="00C81FC1">
      <w:pPr>
        <w:pStyle w:val="Heading1"/>
      </w:pPr>
      <w:bookmarkStart w:id="2" w:name="O_940152"/>
      <w:bookmarkEnd w:id="2"/>
      <w:r w:rsidRPr="00C81FC1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81F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C1" w:rsidP="00C81FC1">
            <w:pPr>
              <w:pStyle w:val="BodyText"/>
            </w:pPr>
            <w:r w:rsidRPr="00C81FC1">
              <w:t>This unit involves the skills and knowledge required to obtain a licence to drive a heavy combination vehicle. It includes systematica</w:t>
            </w:r>
            <w:r w:rsidRPr="00C81FC1">
              <w:t xml:space="preserve">lly and efficiently controlling all vehicle functions, monitoring traffic and road conditions, managing vehicle condition and performance, coupling and uncoupling of trailer, and effectively managing hazardous situations. </w:t>
            </w:r>
          </w:p>
          <w:p w:rsidR="00000000" w:rsidRPr="00C81FC1" w:rsidP="00C81FC1">
            <w:pPr>
              <w:pStyle w:val="BodyText"/>
            </w:pPr>
            <w:r w:rsidRPr="00C81FC1">
              <w:t>A heavy combination vehicles incl</w:t>
            </w:r>
            <w:r w:rsidRPr="00C81FC1">
              <w:t>udes:</w:t>
            </w:r>
          </w:p>
          <w:p w:rsidR="00000000" w:rsidRPr="00C81FC1" w:rsidP="00C81FC1">
            <w:pPr>
              <w:pStyle w:val="ListBullet"/>
            </w:pPr>
            <w:r w:rsidRPr="00C81FC1">
              <w:t xml:space="preserve">a prime mover with a minimum of three axles and a semi-trailer with a minimum of two axles – vehicle must have a GCM rating of at least 24 tonnes or </w:t>
            </w:r>
          </w:p>
          <w:p w:rsidR="00000000" w:rsidRPr="00C81FC1" w:rsidP="00C81FC1">
            <w:pPr>
              <w:pStyle w:val="ListBullet"/>
            </w:pPr>
            <w:r w:rsidRPr="00C81FC1">
              <w:t>a heavy rigid vehicle towing a trailer – trailer must have at least two axles and a GVM of 12 tonne</w:t>
            </w:r>
            <w:r w:rsidRPr="00C81FC1">
              <w:t>s or more.</w:t>
            </w:r>
          </w:p>
          <w:p w:rsidR="00000000" w:rsidRPr="00C81FC1" w:rsidP="00C81FC1">
            <w:pPr>
              <w:pStyle w:val="BodyText"/>
            </w:pPr>
            <w:r w:rsidRPr="00C81FC1">
              <w:t>Assessment of this unit will be undertaken within a licensing examination conducted by, or under the authority of, the relevant state/territory driver licensing authority.</w:t>
            </w:r>
          </w:p>
          <w:p w:rsidR="00000000" w:rsidRPr="00C81FC1" w:rsidP="00C81FC1">
            <w:pPr>
              <w:pStyle w:val="BodyText"/>
            </w:pPr>
            <w:r w:rsidRPr="00C81FC1">
              <w:t>This unit applies to driving that is carried out in accordance with relev</w:t>
            </w:r>
            <w:r w:rsidRPr="00C81FC1">
              <w:t>ant state/territory driver licensing authority licence requirements and regulations for heavy combination vehicles.</w:t>
            </w:r>
          </w:p>
          <w:p w:rsidR="00000000" w:rsidRPr="00C81FC1" w:rsidP="00C81FC1">
            <w:pPr>
              <w:pStyle w:val="BodyText"/>
            </w:pPr>
            <w:r w:rsidRPr="00C81FC1">
              <w:t>Driving is performed with limited or minimum supervision, and with limited accountability and responsibility for self and others in achieving the prescribed outcomes.</w:t>
            </w:r>
          </w:p>
          <w:p w:rsidR="00000000" w:rsidRPr="00C81FC1" w:rsidP="00C81FC1">
            <w:pPr>
              <w:pStyle w:val="BodyText"/>
            </w:pPr>
            <w:r w:rsidRPr="00C81FC1">
              <w:t xml:space="preserve">Driving involves the application of routine vehicle driving principles and procedures to </w:t>
            </w:r>
            <w:r w:rsidRPr="00C81FC1">
              <w:t>maintain safety and to operate a heavy combination vehicle across a variety of driving contexts.</w:t>
            </w:r>
          </w:p>
          <w:p w:rsidR="00000000" w:rsidRPr="00C81FC1" w:rsidP="00C81FC1">
            <w:pPr>
              <w:pStyle w:val="BodyText"/>
            </w:pPr>
            <w:r w:rsidRPr="00C81FC1">
              <w:t>The primary legislative requirements applicable to this unit of competency are state/territory legislation in relation to road use and driver licensing.</w:t>
            </w:r>
          </w:p>
          <w:p w:rsidR="00000000" w:rsidRPr="00C81FC1" w:rsidP="00C81FC1">
            <w:pPr>
              <w:pStyle w:val="BodyText"/>
            </w:pPr>
            <w:r w:rsidRPr="00C81FC1">
              <w:t>This u</w:t>
            </w:r>
            <w:r w:rsidRPr="00C81FC1">
              <w:t>nit addresses the knowledge and skills necessary for the granting of a Heavy Combination Driver Licence.</w:t>
            </w:r>
          </w:p>
          <w:p w:rsidR="00000000" w:rsidRPr="00C81FC1" w:rsidP="00C81FC1">
            <w:pPr>
              <w:pStyle w:val="BodyText"/>
            </w:pPr>
            <w:r w:rsidRPr="00C81FC1">
              <w:t>Being awarded this unit of competency is a necessary requirement to obtain a Heavy Combination Driver Licence but is only one of several criteria. Pros</w:t>
            </w:r>
            <w:r w:rsidRPr="00C81FC1">
              <w:t>pective licence applicants should check with the state/territory driver licensing authority for other criteria (such as licence tenure and medical fitness) to confirm other eligibility requirements before undertaking training and/or assessment.</w:t>
            </w:r>
          </w:p>
        </w:tc>
      </w:tr>
    </w:tbl>
    <w:p w:rsidR="00000000" w:rsidRPr="00C81FC1" w:rsidP="00C81FC1">
      <w:pPr>
        <w:pStyle w:val="NoPaddingFontSize1"/>
      </w:pPr>
    </w:p>
    <w:p w:rsidR="00000000" w:rsidRPr="00C81FC1" w:rsidP="00C81FC1">
      <w:pPr>
        <w:pStyle w:val="AllowPageBreak"/>
      </w:pPr>
    </w:p>
    <w:p w:rsidR="00000000" w:rsidRPr="00C81FC1" w:rsidP="00C81FC1">
      <w:pPr>
        <w:pStyle w:val="Heading1"/>
      </w:pPr>
      <w:bookmarkStart w:id="3" w:name="O_940151"/>
      <w:bookmarkEnd w:id="3"/>
      <w:r w:rsidRPr="00C81FC1">
        <w:t>Pre-requisite Unit</w:t>
      </w:r>
    </w:p>
    <w:p w:rsidR="00000000" w:rsidRPr="00C81FC1" w:rsidP="00BD04E8">
      <w:pPr>
        <w:pStyle w:val="BodyText"/>
      </w:pPr>
      <w:r w:rsidRPr="00C81FC1">
        <w:t>Not applicable.</w:t>
      </w:r>
    </w:p>
    <w:p w:rsidR="00000000" w:rsidRPr="00C81FC1" w:rsidP="00C81FC1">
      <w:pPr>
        <w:pStyle w:val="Heading1"/>
      </w:pPr>
      <w:bookmarkStart w:id="4" w:name="O_940150"/>
      <w:bookmarkEnd w:id="4"/>
      <w:r w:rsidRPr="00C81FC1">
        <w:t>Competency Field</w:t>
      </w:r>
    </w:p>
    <w:p w:rsidR="00000000" w:rsidRPr="00C81FC1" w:rsidP="00BD04E8">
      <w:pPr>
        <w:pStyle w:val="BodyText"/>
      </w:pPr>
      <w:r w:rsidRPr="00C81FC1">
        <w:t>LIC – Licensing</w:t>
      </w:r>
    </w:p>
    <w:p w:rsidR="00000000" w:rsidRPr="00C81FC1" w:rsidP="00C81FC1">
      <w:pPr>
        <w:pStyle w:val="Heading1"/>
      </w:pPr>
      <w:bookmarkStart w:id="5" w:name="O_940149"/>
      <w:bookmarkEnd w:id="5"/>
      <w:r w:rsidRPr="00C81FC1">
        <w:t>Unit Sector</w:t>
      </w:r>
    </w:p>
    <w:p w:rsidR="00000000" w:rsidRPr="00C81FC1" w:rsidP="00BD04E8">
      <w:pPr>
        <w:pStyle w:val="BodyText"/>
      </w:pPr>
      <w:r w:rsidRPr="00C81FC1">
        <w:t>Not applicable.</w:t>
      </w:r>
    </w:p>
    <w:p w:rsidR="00000000" w:rsidRPr="00C81FC1" w:rsidP="00C81FC1">
      <w:pPr>
        <w:pStyle w:val="Heading1"/>
      </w:pPr>
      <w:bookmarkStart w:id="6" w:name="O_940148"/>
      <w:bookmarkEnd w:id="6"/>
      <w:r w:rsidRPr="00C81FC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BD04E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C1" w:rsidP="00C81FC1">
            <w:pPr>
              <w:pStyle w:val="BodyText"/>
            </w:pPr>
            <w:r w:rsidRPr="00C81FC1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C1">
            <w:pPr>
              <w:pStyle w:val="BodyText"/>
              <w:rPr>
                <w:lang w:val="en-NZ"/>
              </w:rPr>
            </w:pPr>
            <w:r w:rsidRPr="00C81FC1">
              <w:rPr>
                <w:rStyle w:val="SpecialBold"/>
              </w:rPr>
              <w:t>PERFORMANCE CRITERIA</w:t>
            </w:r>
          </w:p>
        </w:tc>
      </w:tr>
      <w:tr w:rsidTr="00BD04E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C1">
            <w:pPr>
              <w:pStyle w:val="BodyText"/>
              <w:rPr>
                <w:lang w:val="en-NZ"/>
              </w:rPr>
            </w:pPr>
            <w:r w:rsidRPr="00C81FC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C1">
            <w:pPr>
              <w:pStyle w:val="BodyText"/>
              <w:rPr>
                <w:lang w:val="en-NZ"/>
              </w:rPr>
            </w:pPr>
            <w:r w:rsidRPr="00C81FC1">
              <w:t>Performance criteria describe the performance needed to demonstrate achievement of the element.</w:t>
            </w:r>
          </w:p>
        </w:tc>
      </w:tr>
      <w:tr w:rsidTr="00BD04E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C1" w:rsidP="00C81FC1">
            <w:pPr>
              <w:pStyle w:val="BodyText"/>
            </w:pPr>
            <w:r w:rsidRPr="00C81FC1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C1">
            <w:pPr>
              <w:pStyle w:val="BodyText"/>
              <w:rPr>
                <w:lang w:val="en-NZ"/>
              </w:rPr>
            </w:pPr>
            <w:r w:rsidRPr="00C81FC1">
              <w:rPr>
                <w:rStyle w:val="SpecialBold"/>
              </w:rPr>
              <w:t>Drive a heavy combination vehicle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C1">
            <w:pPr>
              <w:pStyle w:val="BodyText"/>
              <w:rPr>
                <w:lang w:val="en-NZ"/>
              </w:rPr>
            </w:pPr>
            <w:r w:rsidRPr="00C81FC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C1">
            <w:pPr>
              <w:pStyle w:val="BodyText"/>
              <w:rPr>
                <w:lang w:val="en-NZ"/>
              </w:rPr>
            </w:pPr>
            <w:r w:rsidRPr="00C81FC1">
              <w:t>Heavy combination vehicle is started, steered, manoeuvred, positioned and s</w:t>
            </w:r>
            <w:r w:rsidRPr="00C81FC1">
              <w:t>topped in accordance with traffic regulations, manufacturer instructions and relevant vehicle handling procedures</w:t>
            </w:r>
          </w:p>
        </w:tc>
      </w:tr>
      <w:tr w:rsidTr="00BD04E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C1">
            <w:pPr>
              <w:pStyle w:val="BodyText"/>
              <w:rPr>
                <w:lang w:val="en-NZ"/>
              </w:rPr>
            </w:pPr>
            <w:r w:rsidRPr="00C81FC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C1">
            <w:pPr>
              <w:pStyle w:val="BodyText"/>
              <w:rPr>
                <w:lang w:val="en-NZ"/>
              </w:rPr>
            </w:pPr>
            <w:r w:rsidRPr="00C81FC1">
              <w:t>Engine power is managed to ensure efficiency and performance, and to minimise engine and gear damage</w:t>
            </w:r>
          </w:p>
        </w:tc>
      </w:tr>
      <w:tr w:rsidTr="00BD04E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C1">
            <w:pPr>
              <w:pStyle w:val="BodyText"/>
              <w:rPr>
                <w:lang w:val="en-NZ"/>
              </w:rPr>
            </w:pPr>
            <w:r w:rsidRPr="00C81FC1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C1">
            <w:pPr>
              <w:pStyle w:val="BodyText"/>
              <w:rPr>
                <w:lang w:val="en-NZ"/>
              </w:rPr>
            </w:pPr>
            <w:r w:rsidRPr="00C81FC1">
              <w:t>Braking system of heavy combination vehicle is managed and operated efficiently to ensure effective control of vehicle under all conditions</w:t>
            </w:r>
          </w:p>
        </w:tc>
      </w:tr>
      <w:tr w:rsidTr="00BD04E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C1">
            <w:pPr>
              <w:pStyle w:val="BodyText"/>
              <w:rPr>
                <w:lang w:val="en-NZ"/>
              </w:rPr>
            </w:pPr>
            <w:r w:rsidRPr="00C81FC1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C1">
            <w:pPr>
              <w:pStyle w:val="BodyText"/>
              <w:rPr>
                <w:lang w:val="en-NZ"/>
              </w:rPr>
            </w:pPr>
            <w:r w:rsidRPr="00C81FC1">
              <w:t>Driving hazards are identified and/or anticipated and avoided or controlled through defensive driving</w:t>
            </w:r>
          </w:p>
        </w:tc>
      </w:tr>
      <w:tr w:rsidTr="00BD04E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C1">
            <w:pPr>
              <w:pStyle w:val="BodyText"/>
              <w:rPr>
                <w:lang w:val="en-NZ"/>
              </w:rPr>
            </w:pPr>
            <w:r w:rsidRPr="00C81FC1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C1">
            <w:pPr>
              <w:pStyle w:val="BodyText"/>
              <w:rPr>
                <w:lang w:val="en-NZ"/>
              </w:rPr>
            </w:pPr>
            <w:r w:rsidRPr="00C81FC1">
              <w:t>Heavy combination vehicle is driven in reverse, maintaining visibility and achieving accurate positioning</w:t>
            </w:r>
          </w:p>
        </w:tc>
      </w:tr>
      <w:tr w:rsidTr="00BD04E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C1">
            <w:pPr>
              <w:pStyle w:val="BodyText"/>
              <w:rPr>
                <w:lang w:val="en-NZ"/>
              </w:rPr>
            </w:pPr>
            <w:r w:rsidRPr="00C81FC1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C1">
            <w:pPr>
              <w:pStyle w:val="BodyText"/>
              <w:rPr>
                <w:lang w:val="en-NZ"/>
              </w:rPr>
            </w:pPr>
            <w:r w:rsidRPr="00C81FC1">
              <w:t>Heavy combination vehicle is parked, shutdown, uncoupled and safely secured in accordance with traffic regulations</w:t>
            </w:r>
          </w:p>
        </w:tc>
      </w:tr>
      <w:tr w:rsidTr="00BD04E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C1">
            <w:pPr>
              <w:pStyle w:val="BodyText"/>
              <w:rPr>
                <w:lang w:val="en-NZ"/>
              </w:rPr>
            </w:pPr>
            <w:r w:rsidRPr="00C81FC1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C1">
            <w:pPr>
              <w:pStyle w:val="BodyText"/>
              <w:rPr>
                <w:lang w:val="en-NZ"/>
              </w:rPr>
            </w:pPr>
            <w:r w:rsidRPr="00C81FC1">
              <w:t>Load is safely and effectively restrained</w:t>
            </w:r>
          </w:p>
        </w:tc>
      </w:tr>
      <w:tr w:rsidTr="00BD04E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C1" w:rsidP="00C81FC1">
            <w:pPr>
              <w:pStyle w:val="BodyText"/>
            </w:pPr>
            <w:r w:rsidRPr="00C81FC1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C1">
            <w:pPr>
              <w:pStyle w:val="BodyText"/>
              <w:rPr>
                <w:lang w:val="en-NZ"/>
              </w:rPr>
            </w:pPr>
            <w:r w:rsidRPr="00C81FC1">
              <w:rPr>
                <w:rStyle w:val="SpecialBold"/>
              </w:rPr>
              <w:t>Monitor traffic and road conditions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C1">
            <w:pPr>
              <w:pStyle w:val="BodyText"/>
              <w:rPr>
                <w:lang w:val="en-NZ"/>
              </w:rPr>
            </w:pPr>
            <w:r w:rsidRPr="00C81FC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C1">
            <w:pPr>
              <w:pStyle w:val="BodyText"/>
              <w:rPr>
                <w:lang w:val="en-NZ"/>
              </w:rPr>
            </w:pPr>
            <w:r w:rsidRPr="00C81FC1">
              <w:t>Traffic and road conditions are constantly monitored and acted on to enable safe operation and to ensure no injury to people or damage to property, equipment, loads and fa</w:t>
            </w:r>
            <w:r w:rsidRPr="00C81FC1">
              <w:t>cilities</w:t>
            </w:r>
          </w:p>
        </w:tc>
      </w:tr>
      <w:tr w:rsidTr="00BD04E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C1">
            <w:pPr>
              <w:pStyle w:val="BodyText"/>
              <w:rPr>
                <w:lang w:val="en-NZ"/>
              </w:rPr>
            </w:pPr>
            <w:r w:rsidRPr="00C81FC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C1">
            <w:pPr>
              <w:pStyle w:val="BodyText"/>
              <w:rPr>
                <w:lang w:val="en-NZ"/>
              </w:rPr>
            </w:pPr>
            <w:r w:rsidRPr="00C81FC1">
              <w:t xml:space="preserve">Interaction with other road users is conducted courteously in accordance with road rules to ensure safe and efficient traffic </w:t>
            </w:r>
            <w:r w:rsidRPr="00C81FC1">
              <w:t>flow</w:t>
            </w:r>
          </w:p>
        </w:tc>
      </w:tr>
      <w:tr w:rsidTr="00BD04E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C1" w:rsidP="00C81FC1">
            <w:pPr>
              <w:pStyle w:val="BodyText"/>
            </w:pPr>
            <w:r w:rsidRPr="00C81FC1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C1">
            <w:pPr>
              <w:pStyle w:val="BodyText"/>
              <w:rPr>
                <w:lang w:val="en-NZ"/>
              </w:rPr>
            </w:pPr>
            <w:r w:rsidRPr="00C81FC1">
              <w:rPr>
                <w:rStyle w:val="SpecialBold"/>
              </w:rPr>
              <w:t>Monitor and maintain vehicle performance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C1">
            <w:pPr>
              <w:pStyle w:val="BodyText"/>
              <w:rPr>
                <w:lang w:val="en-NZ"/>
              </w:rPr>
            </w:pPr>
            <w:r w:rsidRPr="00C81FC1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C1">
            <w:pPr>
              <w:pStyle w:val="BodyText"/>
              <w:rPr>
                <w:lang w:val="en-NZ"/>
              </w:rPr>
            </w:pPr>
            <w:r w:rsidRPr="00C81FC1">
              <w:t>Vehicle performance is m</w:t>
            </w:r>
            <w:r w:rsidRPr="00C81FC1">
              <w:t xml:space="preserve">aintained through pre-operational inspections and vehicle checks </w:t>
            </w:r>
          </w:p>
        </w:tc>
      </w:tr>
      <w:tr w:rsidTr="00BD04E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C1">
            <w:pPr>
              <w:pStyle w:val="BodyText"/>
              <w:rPr>
                <w:lang w:val="en-NZ"/>
              </w:rPr>
            </w:pPr>
            <w:r w:rsidRPr="00C81FC1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C1">
            <w:pPr>
              <w:pStyle w:val="BodyText"/>
              <w:rPr>
                <w:lang w:val="en-NZ"/>
              </w:rPr>
            </w:pPr>
            <w:r w:rsidRPr="00C81FC1">
              <w:t>Appropriate signage, lights and equipment are checked for operational effectiveness and for conformity to prescribed traffic regulations</w:t>
            </w:r>
          </w:p>
        </w:tc>
      </w:tr>
      <w:tr w:rsidTr="00BD04E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C1">
            <w:pPr>
              <w:pStyle w:val="BodyText"/>
              <w:rPr>
                <w:lang w:val="en-NZ"/>
              </w:rPr>
            </w:pPr>
            <w:r w:rsidRPr="00C81FC1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C1">
            <w:pPr>
              <w:pStyle w:val="BodyText"/>
              <w:rPr>
                <w:lang w:val="en-NZ"/>
              </w:rPr>
            </w:pPr>
            <w:r w:rsidRPr="00C81FC1">
              <w:t>Prime mover and trailer are correctly a</w:t>
            </w:r>
            <w:r w:rsidRPr="00C81FC1">
              <w:t>ligned and coupled</w:t>
            </w:r>
          </w:p>
        </w:tc>
      </w:tr>
      <w:tr w:rsidTr="00BD04E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C1">
            <w:pPr>
              <w:pStyle w:val="BodyText"/>
              <w:rPr>
                <w:lang w:val="en-NZ"/>
              </w:rPr>
            </w:pPr>
            <w:r w:rsidRPr="00C81FC1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C1" w:rsidP="00C81FC1">
            <w:pPr>
              <w:pStyle w:val="BodyText"/>
            </w:pPr>
            <w:r w:rsidRPr="00C81FC1">
              <w:t>Coupled vehicle is checked and tested to ensure it is correctly secured and to confirm it is fully operational</w:t>
            </w:r>
          </w:p>
        </w:tc>
      </w:tr>
    </w:tbl>
    <w:p w:rsidR="00000000" w:rsidRPr="00C81FC1" w:rsidP="00C81FC1">
      <w:pPr>
        <w:pStyle w:val="NoPaddingFontSize1"/>
      </w:pPr>
    </w:p>
    <w:p w:rsidR="00000000" w:rsidRPr="00C81FC1" w:rsidP="00C81FC1">
      <w:pPr>
        <w:pStyle w:val="AllowPageBreak"/>
      </w:pPr>
    </w:p>
    <w:p w:rsidR="00000000" w:rsidRPr="00C81FC1" w:rsidP="00C81FC1">
      <w:pPr>
        <w:pStyle w:val="Heading1"/>
      </w:pPr>
      <w:bookmarkStart w:id="7" w:name="O_940147"/>
      <w:bookmarkEnd w:id="7"/>
      <w:r w:rsidRPr="00C81FC1">
        <w:t>Foundation Skills</w:t>
      </w:r>
    </w:p>
    <w:p w:rsidR="00000000" w:rsidRPr="00C81FC1" w:rsidP="00BD04E8">
      <w:pPr>
        <w:pStyle w:val="BodyText"/>
      </w:pPr>
      <w:r w:rsidRPr="00C81FC1">
        <w:t>Foundation skills essential to performance are explicit in the performance criteria of this unit of competency.</w:t>
      </w:r>
    </w:p>
    <w:p w:rsidR="00000000" w:rsidRPr="00C81FC1" w:rsidP="00C81FC1">
      <w:pPr>
        <w:pStyle w:val="Heading1"/>
      </w:pPr>
      <w:bookmarkStart w:id="8" w:name="O_940146"/>
      <w:bookmarkEnd w:id="8"/>
      <w:r w:rsidRPr="00C81FC1">
        <w:t>Range of Conditions</w:t>
      </w:r>
    </w:p>
    <w:p w:rsidR="00000000" w:rsidRPr="00C81FC1" w:rsidP="00BD04E8">
      <w:pPr>
        <w:pStyle w:val="BodyText"/>
      </w:pPr>
      <w:r w:rsidRPr="00C81FC1">
        <w:t>Range is restricted to essential operating conditions and any other variables essential to the work environ</w:t>
      </w:r>
      <w:r w:rsidRPr="00C81FC1">
        <w:t>ment.</w:t>
      </w:r>
    </w:p>
    <w:p w:rsidR="00000000" w:rsidRPr="00C81FC1" w:rsidP="00BD04E8">
      <w:pPr>
        <w:pStyle w:val="BodyText"/>
      </w:pPr>
      <w:r w:rsidRPr="00C81FC1">
        <w:t>Non-essential conditions can be found in the Companion Volume Implementation Guide.</w:t>
      </w:r>
    </w:p>
    <w:p w:rsidR="00000000" w:rsidRPr="00C81FC1" w:rsidP="00C81FC1">
      <w:pPr>
        <w:pStyle w:val="Heading1"/>
      </w:pPr>
      <w:bookmarkStart w:id="9" w:name="O_940145"/>
      <w:bookmarkEnd w:id="9"/>
      <w:r w:rsidRPr="00C81FC1">
        <w:t>Unit Mapping Information</w:t>
      </w:r>
    </w:p>
    <w:p w:rsidR="00000000" w:rsidRPr="00C81FC1" w:rsidP="00BD04E8">
      <w:pPr>
        <w:pStyle w:val="BodyText"/>
      </w:pPr>
      <w:r w:rsidRPr="00C81FC1">
        <w:t>This unit replaces and is equivalent to TLILIC3017A Licence to drive a heavy combination vehicle.</w:t>
      </w:r>
    </w:p>
    <w:p w:rsidR="00000000" w:rsidRPr="00C81FC1" w:rsidP="00C81FC1">
      <w:pPr>
        <w:pStyle w:val="Heading1"/>
      </w:pPr>
      <w:bookmarkStart w:id="10" w:name="O_940154"/>
      <w:bookmarkEnd w:id="10"/>
      <w:r w:rsidRPr="00C81FC1">
        <w:t>Links</w:t>
      </w:r>
    </w:p>
    <w:p w:rsidR="00000000" w:rsidRPr="00C81FC1" w:rsidP="00BD04E8">
      <w:pPr>
        <w:pStyle w:val="BodyText"/>
      </w:pPr>
      <w:r w:rsidRPr="00C81FC1">
        <w:t>Com</w:t>
      </w:r>
      <w:r w:rsidRPr="00C81FC1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B01E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81FC1" w:rsidP="00C81FC1"/>
    <w:sectPr w:rsidSect="00C81F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F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FC1" w:rsidRPr="00BD04E8" w:rsidP="00BD04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F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4E8" w:rsidP="00C81F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04E8" w:rsidP="00C81F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D04E8" w:rsidP="00C81F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F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4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FC1" w:rsidRPr="00BD04E8" w:rsidP="00BD04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F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4E8" w:rsidRPr="002D2AF8" w:rsidP="00C81F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TLILIC3017 Licence to drive a heavy combination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D04E8" w:rsidP="00C81F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1A91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82CC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F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F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F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F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F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F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F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F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F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F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F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FC1"/>
  </w:style>
  <w:style w:type="character" w:customStyle="1" w:styleId="Heading1Char">
    <w:name w:val="Heading 1 Char"/>
    <w:basedOn w:val="DefaultParagraphFont"/>
    <w:link w:val="Heading1"/>
    <w:rsid w:val="00C81F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F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F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1F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1FC1"/>
    <w:rPr>
      <w:b/>
      <w:spacing w:val="0"/>
    </w:rPr>
  </w:style>
  <w:style w:type="paragraph" w:customStyle="1" w:styleId="SuperHeading">
    <w:name w:val="SuperHeading"/>
    <w:basedOn w:val="Normal"/>
    <w:rsid w:val="00C81F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1F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81F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F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F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F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F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F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F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F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F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F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F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F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F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F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F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F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F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F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1F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1F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1F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F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F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1F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1F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F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F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F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F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F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F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F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F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1FC1"/>
    <w:rPr>
      <w:i/>
    </w:rPr>
  </w:style>
  <w:style w:type="paragraph" w:styleId="Caption">
    <w:name w:val="caption"/>
    <w:basedOn w:val="BodyText"/>
    <w:next w:val="Normal"/>
    <w:qFormat/>
    <w:rsid w:val="00C81F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F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F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FC1"/>
  </w:style>
  <w:style w:type="paragraph" w:styleId="TableofFigures">
    <w:name w:val="table of figures"/>
    <w:basedOn w:val="Normal"/>
    <w:next w:val="Normal"/>
    <w:semiHidden/>
    <w:rsid w:val="00C81F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F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1FC1"/>
    <w:rPr>
      <w:rFonts w:ascii="Wingdings" w:hAnsi="Wingdings"/>
    </w:rPr>
  </w:style>
  <w:style w:type="paragraph" w:customStyle="1" w:styleId="TableHeading">
    <w:name w:val="Table Heading"/>
    <w:basedOn w:val="HeadingBase"/>
    <w:rsid w:val="00C81F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FC1"/>
    <w:rPr>
      <w:color w:val="0033CC"/>
      <w:u w:val="none"/>
    </w:rPr>
  </w:style>
  <w:style w:type="paragraph" w:customStyle="1" w:styleId="BodyTextRight">
    <w:name w:val="Body Text Right"/>
    <w:basedOn w:val="BodyText"/>
    <w:rsid w:val="00C81F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F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F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F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F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F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FC1"/>
    <w:rPr>
      <w:sz w:val="32"/>
    </w:rPr>
  </w:style>
  <w:style w:type="paragraph" w:customStyle="1" w:styleId="HeadingProcedure">
    <w:name w:val="Heading Procedure"/>
    <w:basedOn w:val="HeadingBase"/>
    <w:next w:val="Normal"/>
    <w:rsid w:val="00C81F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FC1"/>
    <w:pPr>
      <w:spacing w:before="60" w:after="60"/>
    </w:pPr>
  </w:style>
  <w:style w:type="paragraph" w:styleId="ListContinue">
    <w:name w:val="List Continue"/>
    <w:basedOn w:val="List"/>
    <w:rsid w:val="00C81FC1"/>
    <w:pPr>
      <w:ind w:firstLine="0"/>
    </w:pPr>
  </w:style>
  <w:style w:type="paragraph" w:customStyle="1" w:styleId="ListNote">
    <w:name w:val="List Note"/>
    <w:basedOn w:val="List"/>
    <w:rsid w:val="00C81F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F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F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FC1"/>
    <w:rPr>
      <w:rFonts w:ascii="Courier New" w:hAnsi="Courier New"/>
    </w:rPr>
  </w:style>
  <w:style w:type="paragraph" w:customStyle="1" w:styleId="NoteBullet">
    <w:name w:val="Note Bullet"/>
    <w:basedOn w:val="Note"/>
    <w:rsid w:val="00C81F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F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F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F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F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1F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F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FC1"/>
    <w:rPr>
      <w:b/>
      <w:smallCaps/>
    </w:rPr>
  </w:style>
  <w:style w:type="paragraph" w:customStyle="1" w:styleId="TableListNumber">
    <w:name w:val="Table List Number"/>
    <w:basedOn w:val="ListNumber"/>
    <w:rsid w:val="00C81F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F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FC1"/>
    <w:pPr>
      <w:numPr>
        <w:numId w:val="8"/>
      </w:numPr>
    </w:pPr>
  </w:style>
  <w:style w:type="paragraph" w:customStyle="1" w:styleId="ListAlpha2">
    <w:name w:val="List Alpha 2"/>
    <w:basedOn w:val="List2"/>
    <w:rsid w:val="00C81FC1"/>
    <w:pPr>
      <w:numPr>
        <w:numId w:val="7"/>
      </w:numPr>
    </w:pPr>
  </w:style>
  <w:style w:type="paragraph" w:styleId="List2">
    <w:name w:val="List 2"/>
    <w:basedOn w:val="BodyText"/>
    <w:rsid w:val="00C81F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F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F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F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1F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1F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1FC1"/>
    <w:pPr>
      <w:numPr>
        <w:numId w:val="3"/>
      </w:numPr>
    </w:pPr>
  </w:style>
  <w:style w:type="paragraph" w:styleId="ListContinue2">
    <w:name w:val="List Continue 2"/>
    <w:basedOn w:val="List2"/>
    <w:rsid w:val="00C81FC1"/>
    <w:pPr>
      <w:ind w:firstLine="0"/>
    </w:pPr>
  </w:style>
  <w:style w:type="paragraph" w:styleId="ListContinue3">
    <w:name w:val="List Continue 3"/>
    <w:basedOn w:val="List3"/>
    <w:rsid w:val="00C81FC1"/>
    <w:pPr>
      <w:ind w:left="1021" w:firstLine="0"/>
    </w:pPr>
  </w:style>
  <w:style w:type="paragraph" w:styleId="ListContinue4">
    <w:name w:val="List Continue 4"/>
    <w:basedOn w:val="List4"/>
    <w:rsid w:val="00C81FC1"/>
    <w:pPr>
      <w:ind w:firstLine="0"/>
    </w:pPr>
  </w:style>
  <w:style w:type="paragraph" w:styleId="ListContinue5">
    <w:name w:val="List Continue 5"/>
    <w:basedOn w:val="List5"/>
    <w:rsid w:val="00C81FC1"/>
    <w:pPr>
      <w:ind w:firstLine="0"/>
    </w:pPr>
  </w:style>
  <w:style w:type="paragraph" w:styleId="ListNumber3">
    <w:name w:val="List Number 3"/>
    <w:basedOn w:val="List3"/>
    <w:rsid w:val="00C81FC1"/>
    <w:pPr>
      <w:numPr>
        <w:numId w:val="4"/>
      </w:numPr>
    </w:pPr>
  </w:style>
  <w:style w:type="paragraph" w:styleId="ListNumber4">
    <w:name w:val="List Number 4"/>
    <w:basedOn w:val="List4"/>
    <w:rsid w:val="00C81FC1"/>
    <w:pPr>
      <w:numPr>
        <w:numId w:val="5"/>
      </w:numPr>
    </w:pPr>
  </w:style>
  <w:style w:type="paragraph" w:styleId="ListNumber5">
    <w:name w:val="List Number 5"/>
    <w:basedOn w:val="List5"/>
    <w:rsid w:val="00C81FC1"/>
    <w:pPr>
      <w:numPr>
        <w:numId w:val="6"/>
      </w:numPr>
    </w:pPr>
  </w:style>
  <w:style w:type="paragraph" w:styleId="BlockText">
    <w:name w:val="Block Text"/>
    <w:basedOn w:val="Normal"/>
    <w:rsid w:val="00C81F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F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FC1"/>
    <w:rPr>
      <w:sz w:val="16"/>
      <w:vertAlign w:val="superscript"/>
    </w:rPr>
  </w:style>
  <w:style w:type="character" w:customStyle="1" w:styleId="Symbols">
    <w:name w:val="Symbols"/>
    <w:basedOn w:val="DefaultParagraphFont"/>
    <w:rsid w:val="00C81FC1"/>
    <w:rPr>
      <w:rFonts w:ascii="Symbol" w:hAnsi="Symbol"/>
    </w:rPr>
  </w:style>
  <w:style w:type="character" w:customStyle="1" w:styleId="MenuOptions">
    <w:name w:val="Menu Options"/>
    <w:basedOn w:val="DefaultParagraphFont"/>
    <w:rsid w:val="00C81F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FC1"/>
    <w:rPr>
      <w:b/>
    </w:rPr>
  </w:style>
  <w:style w:type="character" w:customStyle="1" w:styleId="Underlined">
    <w:name w:val="Underlined"/>
    <w:basedOn w:val="DefaultParagraphFont"/>
    <w:rsid w:val="00C81FC1"/>
    <w:rPr>
      <w:u w:val="single"/>
    </w:rPr>
  </w:style>
  <w:style w:type="paragraph" w:customStyle="1" w:styleId="TableBodyTextRight">
    <w:name w:val="Table Body Text Right"/>
    <w:basedOn w:val="TableBodyText"/>
    <w:rsid w:val="00C81F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FC1"/>
    <w:rPr>
      <w:sz w:val="18"/>
    </w:rPr>
  </w:style>
  <w:style w:type="paragraph" w:customStyle="1" w:styleId="BodySmallRight">
    <w:name w:val="Body Small Right"/>
    <w:basedOn w:val="BodyTextRight"/>
    <w:rsid w:val="00C81FC1"/>
    <w:rPr>
      <w:sz w:val="18"/>
      <w:szCs w:val="18"/>
    </w:rPr>
  </w:style>
  <w:style w:type="paragraph" w:customStyle="1" w:styleId="MarginEdition">
    <w:name w:val="Margin Edition"/>
    <w:basedOn w:val="MarginNote"/>
    <w:rsid w:val="00C81F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FC1"/>
    <w:rPr>
      <w:sz w:val="2"/>
      <w:szCs w:val="2"/>
    </w:rPr>
  </w:style>
  <w:style w:type="character" w:customStyle="1" w:styleId="Small">
    <w:name w:val="Small"/>
    <w:basedOn w:val="DefaultParagraphFont"/>
    <w:rsid w:val="00C81FC1"/>
    <w:rPr>
      <w:sz w:val="16"/>
    </w:rPr>
  </w:style>
  <w:style w:type="paragraph" w:customStyle="1" w:styleId="WideTable">
    <w:name w:val="Wide Table"/>
    <w:basedOn w:val="Normal"/>
    <w:rsid w:val="00C81F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FC1"/>
  </w:style>
  <w:style w:type="paragraph" w:styleId="Quote">
    <w:name w:val="Quote"/>
    <w:basedOn w:val="Heading1"/>
    <w:link w:val="QuoteChar"/>
    <w:qFormat/>
    <w:rsid w:val="00C81F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F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FC1"/>
    <w:pPr>
      <w:pageBreakBefore/>
    </w:pPr>
  </w:style>
  <w:style w:type="paragraph" w:customStyle="1" w:styleId="Border">
    <w:name w:val="Border"/>
    <w:basedOn w:val="Normal"/>
    <w:qFormat/>
    <w:rsid w:val="00C81F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F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F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F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F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F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F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F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F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FC1"/>
    <w:rPr>
      <w:u w:val="single"/>
    </w:rPr>
  </w:style>
  <w:style w:type="character" w:customStyle="1" w:styleId="BoldandItalics">
    <w:name w:val="Bold and Italics"/>
    <w:qFormat/>
    <w:rsid w:val="00C81FC1"/>
    <w:rPr>
      <w:b/>
      <w:i/>
      <w:u w:val="none"/>
    </w:rPr>
  </w:style>
  <w:style w:type="paragraph" w:styleId="BalloonText">
    <w:name w:val="Balloon Text"/>
    <w:basedOn w:val="Normal"/>
    <w:link w:val="BalloonTextChar"/>
    <w:rsid w:val="00C81F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F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F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F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F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F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FC1"/>
    <w:pPr>
      <w:spacing w:before="0" w:after="0"/>
    </w:pPr>
  </w:style>
  <w:style w:type="paragraph" w:customStyle="1" w:styleId="BodyTextBold">
    <w:name w:val="Body Text Bold"/>
    <w:basedOn w:val="BodyText"/>
    <w:qFormat/>
    <w:rsid w:val="00C81FC1"/>
    <w:rPr>
      <w:b/>
    </w:rPr>
  </w:style>
  <w:style w:type="character" w:styleId="Hyperlink">
    <w:name w:val="Hyperlink"/>
    <w:basedOn w:val="DefaultParagraphFont"/>
    <w:uiPriority w:val="99"/>
    <w:unhideWhenUsed/>
    <w:rsid w:val="00BD04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750</Words>
  <Characters>4551</Characters>
  <Application>Microsoft Office Word</Application>
  <DocSecurity>0</DocSecurity>
  <Lines>156</Lines>
  <Paragraphs>85</Paragraphs>
  <ScaleCrop>false</ScaleCrop>
  <Company>Author-it Software Corporation Ltd.</Company>
  <LinksUpToDate>false</LinksUpToDate>
  <CharactersWithSpaces>5216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TLILIC3017 Licence to drive a heavy combination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2024-07-12T07:38:00Z</dcterms:created>
  <dcterms:modified xsi:type="dcterms:W3CDTF">2024-07-12T07:38:00Z</dcterms:modified>
</cp:coreProperties>
</file>